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PersStärkeG</w:t>
      </w:r>
    </w:p>
    <w:p>
      <w:r>
        <w:rPr>
          <w:color w:val="555555"/>
          <w:sz w:val="18"/>
        </w:rPr>
        <w:t xml:space="preserve">Personalstärkegesetz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Berufssoldaten, die nach § 1 in den Ruhestand versetzt worden sind, erhalten unbeschadet der Regelung des § 53 des Soldatenversorgungsgesetzes einen einmaligen Ausgleich für die Anzahl der Monate, um die die Versetzung in den Ruhestand vor dem Zeitpunkt liegt, von dem an die Berufssoldaten nach § 44 Abs. 2 in Verbindung mit § 45 Abs. 2 und 3 des Soldatengesetzes in der vor Inkrafttreten dieses Gesetzes geltenden Fassung in den Ruhestand hätten versetzt werden können. Der Ausgleich beträgt bei einer Vorverlegung der Zurruhesetzung um</w:t>
      </w:r>
    </w:p>
    <w:p>
      <w:r>
        <w:rPr>
          <w:rFonts w:ascii="Courier New" w:hAnsi="Courier New"/>
          <w:sz w:val="17"/>
        </w:rPr>
        <w:t xml:space="preserve">einen bis drei Monate    eintausend Deutsche Mark,</w:t>
      </w:r>
    </w:p>
    <w:p>
      <w:r>
        <w:rPr>
          <w:rFonts w:ascii="Courier New" w:hAnsi="Courier New"/>
          <w:sz w:val="17"/>
        </w:rPr>
        <w:t xml:space="preserve">vier bis sechs Monate    zweitausend Deutsche Mark,</w:t>
      </w:r>
    </w:p>
    <w:p>
      <w:r>
        <w:rPr>
          <w:rFonts w:ascii="Courier New" w:hAnsi="Courier New"/>
          <w:sz w:val="17"/>
        </w:rPr>
        <w:t xml:space="preserve">sieben bis elf Monate    dreitausend Deutsche Mark,</w:t>
      </w:r>
    </w:p>
    <w:p>
      <w:r>
        <w:rPr>
          <w:rFonts w:ascii="Courier New" w:hAnsi="Courier New"/>
          <w:sz w:val="17"/>
        </w:rPr>
        <w:t xml:space="preserve">zwölf und mehr Monate    viertausend Deutsche Mark.</w:t>
      </w:r>
    </w:p>
    <w:p>
      <w:r>
        <w:t xml:space="preserve">(2) Für Berufssoldaten, die nach § 2 in den Ruhestand versetzt worden sind, findet § 53 des Soldatenversorgungsgesetzes entsprechende Anwendung. Darüber hinaus gilt § 4 Abs. 1 Satz 1 des Bundesbesoldungsgesetzes entsprechend mit der Maßgabe, daß der Mehrbetrag, der auf der Weitergewährung der Besoldung anstelle von Ruhegehalt beruht, insgesamt viertausend Deutsche Mark nicht übersteigen darf.</w:t>
      </w:r>
    </w:p>
    <w:p>
      <w:r>
        <w:rPr>
          <w:color w:val="555555"/>
          <w:sz w:val="17"/>
        </w:rPr>
        <w:t xml:space="preserve">Zitiervorschlag: § 7 PersStärkeG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https://recht.nulegal.eu/gesetze/PersSt%C3%A4rkeG/7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