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PersFachkPrV — (zu § 8) Zeugnisinhalte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2233)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vier Handlungsbereiche der schriftlichen Prüfung und Bewertung mit Punkten und Note,</w:t>
      </w:r>
    </w:p>
    <w:p>
      <w:pPr>
        <w:ind w:left="420"/>
      </w:pPr>
      <w:r>
        <w:t xml:space="preserve">2. Benennung des Fachgesprächs und Bewertung mit Punkten und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5,</w:t>
      </w:r>
    </w:p>
    <w:p>
      <w:pPr>
        <w:ind w:left="420"/>
      </w:pPr>
      <w:r>
        <w:t xml:space="preserve">7. Vorliegen des Nachweises über den Erwerb der berufs- und arbeitspädagogischen Qualifikationen nach § 2 Absatz 2.</w:t>
      </w:r>
    </w:p>
    <w:p>
      <w:r>
        <w:rPr>
          <w:color w:val="555555"/>
          <w:sz w:val="17"/>
        </w:rPr>
        <w:t xml:space="preserve">Zitiervorschlag: Anlage 2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PersFachkPrV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