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PersFachkPrV — Gliederung und Durchführung der Prüfung</w:t>
      </w:r>
    </w:p>
    <w:p>
      <w:r>
        <w:rPr>
          <w:color w:val="555555"/>
          <w:sz w:val="18"/>
        </w:rPr>
        <w:t xml:space="preserve">Verordnung über die Prüfung zum anerkannten Abschluss Geprüfter Personalfachkaufmann/Geprüfte Personalfachkauffrau</w:t>
      </w:r>
    </w:p>
    <w:p>
      <w:r>
        <w:rPr>
          <w:color w:val="555555"/>
          <w:sz w:val="18"/>
        </w:rPr>
        <w:t xml:space="preserve">Stand: 10.01.2020 (konsolidierte Textfassung, kein amtliches Inkrafttretensdatum)</w:t>
      </w:r>
    </w:p>
    <w:p>
      <w:r>
        <w:t xml:space="preserve">(1) Die Prüfung gliedert sich in folgende Handlungsbereiche:</w:t>
      </w:r>
    </w:p>
    <w:p>
      <w:pPr>
        <w:ind w:left="420"/>
      </w:pPr>
      <w:r>
        <w:t xml:space="preserve">1. Personalarbeit organisieren und durchführen,</w:t>
      </w:r>
    </w:p>
    <w:p>
      <w:pPr>
        <w:ind w:left="420"/>
      </w:pPr>
      <w:r>
        <w:t xml:space="preserve">2. Personalarbeit auf Grundlage rechtlicher Bestimmungen durchführen,</w:t>
      </w:r>
    </w:p>
    <w:p>
      <w:pPr>
        <w:ind w:left="420"/>
      </w:pPr>
      <w:r>
        <w:t xml:space="preserve">3. Personalplanung, -marketing und -controlling gestalten und umsetzen,</w:t>
      </w:r>
    </w:p>
    <w:p>
      <w:pPr>
        <w:ind w:left="420"/>
      </w:pPr>
      <w:r>
        <w:t xml:space="preserve">4. Personal- und Organisationsentwicklung steuern.</w:t>
      </w:r>
    </w:p>
    <w:p>
      <w:r>
        <w:t xml:space="preserve">(2) Die Prüfung ist schriftlich und in Form eines situationsbezogenen Fachgesprächs durchzuführen.</w:t>
      </w:r>
    </w:p>
    <w:p>
      <w:r>
        <w:t xml:space="preserve">(3) In einer schriftlichen Prüfung werden je Handlungsbereich komplexe Situationsaufgaben unter Aufsicht bearbeitet. Die Dauer der schriftlichen Prüfung des Handlungsbereichs gemäß Absatz 1 Nr. 1 soll mindestens 100 Minuten und höchstens 120 Minuten betragen. Die Gesamtbearbeitungszeit der schriftlichen Prüfung der Handlungsbereiche gemäß Absatz 1 Nr. 2 bis 4 soll mindestens 420 Minuten betragen. Je Handlungsbereich gemäß Absatz 1 Nr. 2 bis 4 beträgt die Dauer der schriftlichen Prüfung höchstens 160 Minuten.</w:t>
      </w:r>
    </w:p>
    <w:p>
      <w:r>
        <w:t xml:space="preserve">(4) Hat der die zu prüfende Person in nicht mehr als einer schriftlichen Prüfungsleistung gemäß Absatz 3 eine mangelhafte Prüfungsleistung erbracht, ist ihr in diesem Handlungsbereich eine mündliche Ergänzungsprüfung anzubieten. Bei einer oder mehrerer ungenügender schriftlicher Prüfungsleistungen besteht diese Möglichkeit nicht.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t xml:space="preserve">(5) Das situationsbezogene Fachgespräch geht von einem betrieblichen Beratungsauftrag aus. Der betriebliche Beratungsauftrag wird als Vorlage für die Geschäftsleitung verstanden, in dem die zu prüfende Person der Geschäftsleitung einen personalpolitischen Entscheidungsvorschlag vorlegt und präsentiert. Der Prüfungsausschuss stellt 14 Kalendertage vor der Prüfung das Thema, wobei die Themenvorschläge der zu prüfenden Person berücksichtigt werden sollen. Dazu soll die zu prüfende Person zwei Themenvorschläge mit einer Grobgliederung einreichen. Der Prüfungsausschuss soll den Umfang des Themas begrenzen. Insgesamt soll das situationsbezogene Fachgespräch höchstens 30 Minuten dauern. In etwa zehn Minuten stellt die zu prüfende Person mit geeigneten Medien ihre Lösungsvorschläge dem Prüfungsausschuss vor. Davon ausgehend führt der Prüfungsausschuss in der verbleibenden Zeit ein Prüfungsgespräch.</w:t>
      </w:r>
    </w:p>
    <w:p>
      <w:r>
        <w:rPr>
          <w:color w:val="555555"/>
          <w:sz w:val="17"/>
        </w:rPr>
        <w:t xml:space="preserve">Zitiervorschlag: § 3 PersFachkPrV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https://recht.nulegal.eu/gesetze/PersFachkPrV/3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