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PersDLPrV — Inkrafttreten</w:t>
      </w:r>
    </w:p>
    <w:p>
      <w:r>
        <w:rPr>
          <w:color w:val="555555"/>
          <w:sz w:val="18"/>
        </w:rPr>
        <w:t xml:space="preserve">Verordnung über die Prüfung zum anerkannten Fortbildungsabschluss Geprüfter Personaldienstleistungsfachwirt und Geprüfte Personaldienstleistungsfachwirtin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Diese Verordnung tritt am 1. Januar 2011 in Kraft.</w:t>
      </w:r>
    </w:p>
    <w:p>
      <w:r>
        <w:rPr>
          <w:color w:val="555555"/>
          <w:sz w:val="17"/>
        </w:rPr>
        <w:t xml:space="preserve">Zitiervorschlag: § 11 PersDLPrV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https://recht.nulegal.eu/gesetze/PersDLPrV/11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