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PersAnpassG</w:t>
      </w:r>
    </w:p>
    <w:p>
      <w:r>
        <w:rPr>
          <w:color w:val="555555"/>
          <w:sz w:val="18"/>
        </w:rPr>
        <w:t xml:space="preserve">Personalanpassungsgesetz</w:t>
      </w:r>
    </w:p>
    <w:p>
      <w:r>
        <w:rPr>
          <w:color w:val="555555"/>
          <w:sz w:val="18"/>
        </w:rPr>
        <w:t xml:space="preserve">Stand: 01.01.2025 (konsolidierte Textfassung, kein amtliches Inkrafttretensdatum)</w:t>
      </w:r>
    </w:p>
    <w:p>
      <w:r>
        <w:t xml:space="preserve">(1) § 27 Absatz 1 des Soldatenversorgungsgesetzes findet auch Anwendung auf Berufssoldaten, die nach § 1 in den Ruhestand versetzt worden sind.</w:t>
      </w:r>
    </w:p>
    <w:p>
      <w:r>
        <w:t xml:space="preserve">(2) Im Falle des § 1 erhöht sich die ruhegehaltfähige Dienstzeit um die Zeit von der Versetzung in den Ruhestand an bis zum Ablauf des Monats, von dem an der Berufssoldat ohne diese Regelung frühestens in den Ruhestand hätte versetzt werden können. Unterliegt der Berufssoldat im Falle des § 1 nur der allgemeinen Altersgrenze des § 44 Abs. 1 des Soldatengesetzes, erhöht sich die ruhegehaltfähige Dienstzeit um die Zeit von der Versetzung in den Ruhestand an bis zum Ablauf des Monats, in dem er wegen Erreichens der allgemeinen Altersgrenze ohne die Regelung des § 1 in den Ruhestand getreten wäre. Die Sätze 1 und 2 gelten nicht, soweit diese Zeiten bereits nach anderen Vorschriften als ruhegehaltfähig berücksichtigt werden. Sie gelten auch nicht, soweit diese Zeiten bei Verbleiben im Dienst wegen Beurlaubung, des Ruhens der Rechte und Pflichten oder aus sonstigen Gründen nicht als ruhegehaltfähig berücksichtigt worden wären.</w:t>
      </w:r>
    </w:p>
    <w:p>
      <w:r>
        <w:t xml:space="preserve">(3) Darüber hinaus gelten § 40 Absatz 2 und 3 sowie § 115 des Soldatenversorgungsgesetzes entsprechend, soweit sich nichts Abweichendes aus dem Einigungsvertrag ergibt.</w:t>
      </w:r>
    </w:p>
    <w:p>
      <w:r>
        <w:t xml:space="preserve">(4) § 29 Absatz 2 Satz 1 des Soldatenversorgungsgesetzes gilt entsprechend.</w:t>
      </w:r>
    </w:p>
    <w:p>
      <w:r>
        <w:t xml:space="preserve">(5) Die Erhöhungszeit nach Absatz 2 ist in die Frist des § 30 Absatz 1 des Soldatenversorgungsgesetzes einzurechnen.</w:t>
      </w:r>
    </w:p>
    <w:p>
      <w:r>
        <w:t xml:space="preserve">(6) Wird das Ruhegehalt mindestens aus der Besoldungsgruppe A 16 berechnet, vermindert es sich um 1 vom Hundert für jedes Jahr, um das der Berufssoldat vor Erreichen der für ihn geltenden besonderen oder allgemeinen Altersgrenze in den Ruhestand tritt; § 40 Absatz 1 Satz 2 und 4 des Soldatenversorgungsgesetzes gilt entsprechend. Die Kürzung nach Satz 1 darf 5 vom Hundert der ruhegehaltfähigen Dienstbezüge, aus denen sich das Ruhegehalt berechnet, nicht übersteigen.</w:t>
      </w:r>
    </w:p>
    <w:p>
      <w:r>
        <w:t xml:space="preserve">(7) § 53 des Soldatenversorgungsgesetzes und § 2 Nr. 7 der Soldatenversorgungs-Übergangsverordnung gelten entsprechend; hierbei ist § 2 Nr. 7 der Soldatenversorgungs-Übergangsverordnung mit der Maßgabe anzuwenden, dass der einmalige Ausgleich in der Höhe gezahlt wird, wie er bei frühestmöglicher Zurruhesetzung wegen Überschreitens der jeweils maßgebenden besonderen Altersgrenze zu zahlen gewesen wäre.</w:t>
      </w:r>
    </w:p>
    <w:p>
      <w:r>
        <w:t xml:space="preserve">(8) § 68 des Soldatenversorgungsgesetzes ist mit der Maßgabe anzuwenden, dass die Versetzung in den Ruhestand nach § 1 als Versetzung in den Ruhestand wegen Überschreitens einer festgesetzten besonderen Altersgrenze gilt.</w:t>
      </w:r>
    </w:p>
    <w:p>
      <w:r>
        <w:rPr>
          <w:color w:val="555555"/>
          <w:sz w:val="17"/>
        </w:rPr>
        <w:t xml:space="preserve">Zitiervorschlag: § 3 PersAnpassG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https://recht.nulegal.eu/gesetze/PersAnpassG/3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