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PersAnGDVO (Sachsen)</w:t>
      </w:r>
    </w:p>
    <w:p>
      <w:r>
        <w:rPr>
          <w:color w:val="555555"/>
          <w:sz w:val="18"/>
        </w:rPr>
        <w:t xml:space="preserve">Personalanalysegesetz-Durchführungsverordnung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§ 4 des Sächsischen Personalanalysegesetzes vom 11. Dezember 2018 (SächsGVBl. S. 714, 718) verordnet die Staatsregierung:</w:t>
      </w:r>
    </w:p>
    <w:p>
      <w:r>
        <w:rPr>
          <w:color w:val="555555"/>
          <w:sz w:val="17"/>
        </w:rPr>
        <w:t xml:space="preserve">Zitiervorschlag: Eingangsformel PersAnGDVO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https://recht.nulegal.eu/gesetze/PersAnGDVO/eingangsformel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