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PersAnGDVO (Sachsen) — Verfahren und Zeitpunkt der Datenbereitstellung durch die auskunftspflichtigen Stellen</w:t>
      </w:r>
    </w:p>
    <w:p>
      <w:r>
        <w:rPr>
          <w:color w:val="555555"/>
          <w:sz w:val="18"/>
        </w:rPr>
        <w:t xml:space="preserve">Personalanalysegesetz-Durchführungsverordnung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2 Absatz 2 des Sächsischen Personalanalysegesetzes auskunftspflichtigen Stellen bilden von ihren Bediensteten Einzeldatensätze nach § 2 jeweils zum 1. Januar und 1. Juli eines Jahres. Einzeldatensätze abgeordneter Bediensteter werden von der abordnenden Stelle gebildet.</w:t>
      </w:r>
    </w:p>
    <w:p>
      <w:r>
        <w:t xml:space="preserve">(2) Scheidet ein Bediensteter aus dem Dienst- oder Arbeitsverhältnis aus, wird letztmalig zum darauffolgenden Stichtag nur das Merkmal nach § 2 Satz 1 Nummer 8 erfasst.</w:t>
      </w:r>
    </w:p>
    <w:p>
      <w:r>
        <w:t xml:space="preserve">(3) Zur Pseudonymisierung bilden die auskunftspflichtigen Stellen zu jedem Bediensteten ein Datensatzkennzeichen unter Verwendung folgender personenbezogener Daten:</w:t>
      </w:r>
    </w:p>
    <w:p>
      <w:r>
        <w:t xml:space="preserve">1. Geburtstag, Geburtsmonat und Geburtsjahr,</w:t>
      </w:r>
    </w:p>
    <w:p>
      <w:r>
        <w:t xml:space="preserve">2. Personalnummer.</w:t>
      </w:r>
    </w:p>
    <w:p>
      <w:r>
        <w:t xml:space="preserve">Das dafür zu verwendende Verfahren wird einheitlich von der Staatskanzlei vorgegeben.</w:t>
      </w:r>
    </w:p>
    <w:p>
      <w:r>
        <w:t xml:space="preserve">(4) Die nach Absatz 1 oder Absatz 2 gebildeten Einzeldatensätze werden mit dem zugehörigen Datensatzkennzeichen nach Absatz 3 Satz 1 verbunden.</w:t>
      </w:r>
    </w:p>
    <w:p>
      <w:r>
        <w:t xml:space="preserve">(5) Die nach Absatz 4 pseudonymisierten Einzeldatensätze werden jeweils zum 1. März und 1. September eines Jahres verschlüsselt an die Staatskanzlei übermittelt.</w:t>
      </w:r>
    </w:p>
    <w:p>
      <w:r>
        <w:rPr>
          <w:color w:val="555555"/>
          <w:sz w:val="17"/>
        </w:rPr>
        <w:t xml:space="preserve">Zitiervorschlag: § 3 PersAnGDVO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https://recht.nulegal.eu/gesetze/PersAnGDVO/3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