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PersAnGDVO (Sachsen) — Inhalt der Einzeldatensätze</w:t>
      </w:r>
    </w:p>
    <w:p>
      <w:r>
        <w:rPr>
          <w:color w:val="555555"/>
          <w:sz w:val="18"/>
        </w:rPr>
        <w:t xml:space="preserve">Personalanalysegesetz-Durchführungsverordnung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Einzeldatensatz besteht aus folgenden Merkmalen:</w:t>
      </w:r>
    </w:p>
    <w:p>
      <w:r>
        <w:t xml:space="preserve">1. Stichtag,</w:t>
      </w:r>
    </w:p>
    <w:p>
      <w:r>
        <w:t xml:space="preserve">2. Geburtsjahr,</w:t>
      </w:r>
    </w:p>
    <w:p>
      <w:r>
        <w:t xml:space="preserve">3. Geschlecht,</w:t>
      </w:r>
    </w:p>
    <w:p>
      <w:r>
        <w:t xml:space="preserve">4. Statusgruppe,</w:t>
      </w:r>
    </w:p>
    <w:p>
      <w:r>
        <w:t xml:space="preserve">5. Anteil an tariflicher oder beamtenrechtlicher Vollzeittätigkeit (Vollzeitäquivalent),</w:t>
      </w:r>
    </w:p>
    <w:p>
      <w:r>
        <w:t xml:space="preserve">6. Befristung, wenn ja:</w:t>
      </w:r>
    </w:p>
    <w:p>
      <w:r>
        <w:t xml:space="preserve">a)</w:t>
      </w:r>
    </w:p>
    <w:p>
      <w:r>
        <w:t xml:space="preserve">mit oder ohne Sachgrund,</w:t>
      </w:r>
    </w:p>
    <w:p>
      <w:r>
        <w:t xml:space="preserve">b)</w:t>
      </w:r>
    </w:p>
    <w:p>
      <w:r>
        <w:t xml:space="preserve">Jahr des Befristungsendes,</w:t>
      </w:r>
    </w:p>
    <w:p>
      <w:r>
        <w:t xml:space="preserve">7. Beschäftigung aus Drittmitteln,</w:t>
      </w:r>
    </w:p>
    <w:p>
      <w:r>
        <w:t xml:space="preserve">8. Ausscheiden des Bediensteten, wenn ja: Jahr des Ausscheidens,</w:t>
      </w:r>
    </w:p>
    <w:p>
      <w:r>
        <w:t xml:space="preserve">9. Jahr des beantragten, von der Regelaltersgrenze abweichenden Ruhestands- oder Renteneintritts, hilfsweise des Regelruhestands- oder -renteneintritts,</w:t>
      </w:r>
    </w:p>
    <w:p>
      <w:r>
        <w:t xml:space="preserve">10. ausgeübte Tätigkeit – Fachrichtung und Schwerpunkt,</w:t>
      </w:r>
    </w:p>
    <w:p>
      <w:r>
        <w:t xml:space="preserve">11. ausgeübte Tätigkeit – Laufbahngruppe und Einstiegsebene,</w:t>
      </w:r>
    </w:p>
    <w:p>
      <w:r>
        <w:t xml:space="preserve">12. Leitungsfunktion mit Personalverantwortung,</w:t>
      </w:r>
    </w:p>
    <w:p>
      <w:r>
        <w:t xml:space="preserve">13. Abordnung, wenn ja: aufnehmende Dienststelle,</w:t>
      </w:r>
    </w:p>
    <w:p>
      <w:r>
        <w:t xml:space="preserve">14. Behörde, sonstige öffentliche Stelle oder unter Aufsicht des Freistaates Sachsen stehende juristische Person des öffentlichen Rechts, bei der der Bedienstete beschäftigt ist (Stammdienststelle),</w:t>
      </w:r>
    </w:p>
    <w:p>
      <w:r>
        <w:t xml:space="preserve">15. Ressort der Stammdienststelle,</w:t>
      </w:r>
    </w:p>
    <w:p>
      <w:r>
        <w:t xml:space="preserve">16. Landkreis und Gemeinde oder Kreisfreie Stadt des Dienstortes.</w:t>
      </w:r>
    </w:p>
    <w:p>
      <w:r>
        <w:t xml:space="preserve">Die Staatskanzlei kann für einzelne Merkmale einheitliche Kataloge vorgeben.</w:t>
      </w:r>
    </w:p>
    <w:p>
      <w:r>
        <w:rPr>
          <w:color w:val="555555"/>
          <w:sz w:val="17"/>
        </w:rPr>
        <w:t xml:space="preserve">Zitiervorschlag: § 2 PersAnGDVO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https://recht.nulegal.eu/gesetze/PersAnGDVO/2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