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PelzVAusbV</w:t>
      </w:r>
    </w:p>
    <w:p>
      <w:r>
        <w:rPr>
          <w:color w:val="555555"/>
          <w:sz w:val="18"/>
        </w:rPr>
        <w:t xml:space="preserve">Pelzveredler-Ausbildungsverordnung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des Berufsbildungsgesetzes vom 14. August 1969 (BGBl. I S. 1112), der zuletzt durch § 24 Nr. 1 des Gesetzes vom 24. August 1976 (BGBl. I S. 2525) geändert worden ist, wird im Einvernehmen mit dem Bundesminister für Bildung und Wissenschaft verordnet:</w:t>
      </w:r>
    </w:p>
    <w:p>
      <w:r>
        <w:rPr>
          <w:color w:val="555555"/>
          <w:sz w:val="17"/>
        </w:rPr>
        <w:t xml:space="preserve">Zitiervorschlag: Eingangsformel PelzVAusbV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https://recht.nulegal.eu/gesetze/PelzVAusbV/eingangsformel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