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PelzVAusbV — Staatliche Anerkennung des Ausbildungsberufs</w:t>
      </w:r>
    </w:p>
    <w:p>
      <w:r>
        <w:rPr>
          <w:color w:val="555555"/>
          <w:sz w:val="18"/>
        </w:rPr>
        <w:t xml:space="preserve">Pelzveredler-Ausbildungsverordnung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Pelzveredler/Pelzveredlerin wird staatlich anerkannt.</w:t>
      </w:r>
    </w:p>
    <w:p>
      <w:r>
        <w:rPr>
          <w:color w:val="555555"/>
          <w:sz w:val="17"/>
        </w:rPr>
        <w:t xml:space="preserve">Zitiervorschlag: § 1 PelzVAusbV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https://recht.nulegal.eu/gesetze/PelzVAusbV/1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