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PauschAV — Verfahrensbeteiligte und zentrale Stelle</w:t>
      </w:r>
    </w:p>
    <w:p>
      <w:r>
        <w:rPr>
          <w:color w:val="555555"/>
          <w:sz w:val="18"/>
        </w:rPr>
        <w:t xml:space="preserve">Pauschal-Abgeltungsverordnung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Krankenkassen und Spitzenverbände der Krankenkassen im Sinne dieser Verordnung sind die in § 4 Abs. 2 und § 213 Abs. 1 des Fünften Buches Sozialgesetzbuch genannten Körperschaften.</w:t>
      </w:r>
    </w:p>
    <w:p>
      <w:r>
        <w:t xml:space="preserve">(2) Die Mitteilung der Spitzenverbände, wer zentrale Stelle nach § 221 Abs. 1 Satz 2 des Fünften Buches Sozialgesetzbuch ist, erfolgt bis zum 15. April 2004 an das Bundesamt für Soziale Sicherung.</w:t>
      </w:r>
    </w:p>
    <w:p>
      <w:r>
        <w:rPr>
          <w:color w:val="555555"/>
          <w:sz w:val="17"/>
        </w:rPr>
        <w:t xml:space="preserve">Zitiervorschlag: § 1 PauschAV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https://recht.nulegal.eu/gesetze/PauschAV/1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