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PatV — Nichtnennung des Erfinders; Änderungen der Erfindernennung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des Erfinders, ihn nicht als Erfinder zu nennen, der Widerruf dieses Antrags (§ 63 Abs. 1 Satz 3 und 4 des Patentgesetzes) sowie Anträge auf Berichtigung oder Nachholung der Nennung (§ 63 Abs. 2 des Patentgesetzes) sind schriftlich einzureichen. Die Schriftstücke müssen vom Erfinder unterzeichnet sein und die Bezeichnung der Erfindung sowie das amtliche Aktenzeichen enthalten.</w:t>
      </w:r>
    </w:p>
    <w:p>
      <w:r>
        <w:t xml:space="preserve">(2) Die Zustimmung des Anmelders oder Patentinhabers sowie des zu Unrecht Benannten zur Berichtigung oder Nachholung der Nennung (§ 63 Abs. 2 des Patentgesetzes) hat schriftlich zu erfolgen.</w:t>
      </w:r>
    </w:p>
    <w:p>
      <w:r>
        <w:rPr>
          <w:color w:val="555555"/>
          <w:sz w:val="17"/>
        </w:rPr>
        <w:t xml:space="preserve">Zitiervorschlag: § 8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