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PatV — Benennung des Erfinders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Anmelder muss bei schriftlicher Benennung des Erfinders das vom Deutschen Patent- und Markenamt herausgegebene Formblatt verwenden.</w:t>
      </w:r>
    </w:p>
    <w:p>
      <w:r>
        <w:t xml:space="preserve">(2) Die Benennung muss enthalten:</w:t>
      </w:r>
    </w:p>
    <w:p>
      <w:pPr>
        <w:ind w:left="420"/>
      </w:pPr>
      <w:r>
        <w:t xml:space="preserve">1. die Vornamen, den Namen und die Anschrift mit Angabe von Straße, Hausnummer, Postleitzahl und Ort des Erfinders; § 4 Absatz 3 gilt entsprechend;</w:t>
      </w:r>
    </w:p>
    <w:p>
      <w:pPr>
        <w:ind w:left="420"/>
      </w:pPr>
      <w:r>
        <w:t xml:space="preserve">2. die Versicherung des Anmelders, dass weitere Personen seines Wissens an der Erfindung nicht beteiligt sind (§ 37 Abs. 1 des Patentgesetzes);</w:t>
      </w:r>
    </w:p>
    <w:p>
      <w:pPr>
        <w:ind w:left="420"/>
      </w:pPr>
      <w:r>
        <w:t xml:space="preserve">3. falls der Anmelder nicht oder nicht allein der Erfinder ist, die Erklärung darüber, wie das Recht auf das Patent an ihn gelangt ist (§ 37 Abs. 1 Satz 2 des Patentgesetzes);</w:t>
      </w:r>
    </w:p>
    <w:p>
      <w:pPr>
        <w:ind w:left="420"/>
      </w:pPr>
      <w:r>
        <w:t xml:space="preserve">4. die Bezeichnung der Erfindung und soweit bereits bekannt das amtliche Aktenzeichen;</w:t>
      </w:r>
    </w:p>
    <w:p>
      <w:pPr>
        <w:ind w:left="420"/>
      </w:pPr>
      <w:r>
        <w:t xml:space="preserve">5. die Unterschrift des Anmelders oder seines Vertreters; ist das Patent von mehreren Personen beantragt, so hat jede von ihnen oder ihr Vertreter die Benennung zu unterzeichnen.</w:t>
      </w:r>
    </w:p>
    <w:p>
      <w:r>
        <w:rPr>
          <w:color w:val="555555"/>
          <w:sz w:val="17"/>
        </w:rPr>
        <w:t xml:space="preserve">Zitiervorschlag: § 7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