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PatV — Öffentliche Beglaubigung von Unterschriften</w:t>
      </w:r>
    </w:p>
    <w:p>
      <w:r>
        <w:rPr>
          <w:color w:val="555555"/>
          <w:sz w:val="18"/>
        </w:rPr>
        <w:t xml:space="preserve">Patentverordnung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Anforderung des Deutschen Patent- und Markenamts sind die in § 7 Abs. 2 Nr. 5 und in § 8 genannten Unterschriften öffentlich beglaubigen zu lassen (§ 129 des Bürgerlichen Gesetzbuchs).</w:t>
      </w:r>
    </w:p>
    <w:p>
      <w:r>
        <w:rPr>
          <w:color w:val="555555"/>
          <w:sz w:val="17"/>
        </w:rPr>
        <w:t xml:space="preserve">Zitiervorschlag: § 17 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