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PatV — Nachgereichte Anmeldungsunterlagen; Änderung von Anmeldungsunterlagen</w:t>
      </w:r>
    </w:p>
    <w:p>
      <w:r>
        <w:rPr>
          <w:color w:val="555555"/>
          <w:sz w:val="18"/>
        </w:rPr>
        <w:t xml:space="preserve">Patentverordnung</w:t>
      </w:r>
    </w:p>
    <w:p>
      <w:r>
        <w:rPr>
          <w:color w:val="555555"/>
          <w:sz w:val="18"/>
        </w:rPr>
        <w:t xml:space="preserve">Stand: 01.07.2022 (konsolidierte Textfassung, kein amtliches Inkrafttretensdatum)</w:t>
      </w:r>
    </w:p>
    <w:p>
      <w:r>
        <w:t xml:space="preserve">(1) Auf allen nach Mitteilung des amtlichen Aktenzeichens eingereichten Schriftstücken ist dieses vollständig anzubringen. Werden die Anmeldungsunterlagen im Laufe des Verfahrens geändert, so hat der Anmelder eine Reinschrift der Anmeldungsunterlagen einzureichen, die die Änderungen berücksichtigt. § 6 Abs. 1 gilt entsprechend.</w:t>
      </w:r>
    </w:p>
    <w:p>
      <w:r>
        <w:t xml:space="preserve">(2) Werden weitere Exemplare von Anmeldungsunterlagen vom Anmelder nachgereicht, so ist eine Erklärung beizufügen, dass die nachgereichten Unterlagen mit den ursprünglich eingereichten Unterlagen übereinstimmen.</w:t>
      </w:r>
    </w:p>
    <w:p>
      <w:r>
        <w:t xml:space="preserve">(3) Der Anmelder hat, sofern die Änderungen nicht vom Deutschen Patent- und Markenamt vorgeschlagen worden sind, im Einzelnen anzugeben, an welcher Stelle die in den neuen Unterlagen beschriebenen Erfindungsmerkmale in den ursprünglichen Unterlagen offenbart sind. Die vorgenommenen Änderungen sind zusätzlich entweder auf einem Doppel der geänderten Unterlagen, durch gesonderte Erläuterungen oder in der Reinschrift zu kennzeichnen. Wird die Kennzeichnung in der Reinschrift vorgenommen, sind die Änderungen fett hervorzuheben.</w:t>
      </w:r>
    </w:p>
    <w:p>
      <w:r>
        <w:t xml:space="preserve">(4) Der Anmelder hat, sofern die Änderungen vom Deutschen Patent- und Markenamt vorgeschlagen und vom Anmelder ohne weitere Änderungen angenommen worden sind, der Reinschrift nach Absatz 1 Satz 2 eine Erklärung beizufügen, dass die Reinschrift keine über die vom Deutschen Patent- und Markenamt vorgeschlagenen Änderungen hinausgehenden Änderungen enthält.</w:t>
      </w:r>
    </w:p>
    <w:p>
      <w:r>
        <w:rPr>
          <w:color w:val="555555"/>
          <w:sz w:val="17"/>
        </w:rPr>
        <w:t xml:space="preserve">Zitiervorschlag: § 15 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