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PatV — Fremdsprachige Dokumente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Deutsche Übersetzungen von fremdsprachigen Dokumenten müssen von einem Rechtsanwalt oder Patentanwalt beglaubigt oder von einem öffentlich bestellten Übersetzer angefertigt sein.</w:t>
      </w:r>
    </w:p>
    <w:p>
      <w:r>
        <w:t xml:space="preserve">(2) Deutsche Übersetzungen von fremdsprachigen Prioritätsbelegen und Abschriften früherer Anmeldungen (§ 41 Absatz 1 des Patentgesetzes) sind nur auf Anforderung des Deutschen Patent- und Markenamtes nachzureichen. Das Deutsche Patent- und Markenamt setzt für die Nachreichung eine angemessene Frist.</w:t>
      </w:r>
    </w:p>
    <w:p>
      <w:r>
        <w:t xml:space="preserve">(3) Deutsche Übersetzungen von sonstigen Dokumenten, die</w:t>
      </w:r>
    </w:p>
    <w:p>
      <w:pPr>
        <w:ind w:left="420"/>
      </w:pPr>
      <w:r>
        <w:t xml:space="preserve">1. nicht zu den Unterlagen der Anmeldung zählen und</w:t>
      </w:r>
    </w:p>
    <w:p>
      <w:pPr>
        <w:ind w:left="420"/>
      </w:pPr>
      <w:r>
        <w:t xml:space="preserve">2. in englischer, französischer, italienischer oder spanischer Sprache eingereicht wurden,</w:t>
      </w:r>
    </w:p>
    <w:p>
      <w:r>
        <w:t xml:space="preserve">sind nur auf Anforderung des Deutschen Patent- und Markenamts nachzureichen. Das Deutsche Patent- und Markenamt setzt für die Nachreichung eine angemessene Frist.</w:t>
      </w:r>
    </w:p>
    <w:p>
      <w:r>
        <w:t xml:space="preserve">(4) Werden sonstige Dokumente, die nicht zu den Unterlagen der Anmeldung zählen, in anderen Sprachen eingereicht als in Absatz 3 Satz 1 Nummer 2 aufgeführt, so sind Übersetzungen in die deutsche Sprache innerhalb eines Monats nach Eingang der Dokumente nachzureichen.</w:t>
      </w:r>
    </w:p>
    <w:p>
      <w:r>
        <w:t xml:space="preserve">(5) Wird die Übersetzung im Sinne der Absätze 2 bis 4 nach Ablauf der Frist eingereicht, so gilt das fremdsprachige Dokument als zum Zeitpunkt des Eingangs der Übersetzung eingegangen. Wird keine Übersetzung eingereicht, so gilt das fremdsprachige Dokument als nicht eingegangen.</w:t>
      </w:r>
    </w:p>
    <w:p>
      <w:r>
        <w:rPr>
          <w:color w:val="555555"/>
          <w:sz w:val="17"/>
        </w:rPr>
        <w:t xml:space="preserve">Zitiervorschlag: § 14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