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11b PatV — Geänderte und nachgereichte Sequenzprotokolle</w:t>
      </w:r>
    </w:p>
    <w:p>
      <w:r>
        <w:rPr>
          <w:color w:val="555555"/>
          <w:sz w:val="18"/>
        </w:rPr>
        <w:t xml:space="preserve">Patentverordnung</w:t>
      </w:r>
    </w:p>
    <w:p>
      <w:r>
        <w:rPr>
          <w:color w:val="555555"/>
          <w:sz w:val="18"/>
        </w:rPr>
        <w:t xml:space="preserve">Stand: 01.07.2022 (konsolidierte Textfassung, kein amtliches Inkrafttretensdatum)</w:t>
      </w:r>
    </w:p>
    <w:p>
      <w:r>
        <w:t xml:space="preserve">(1) Eine Änderung des Sequenzprotokolls ist in Form eines vollständigen neuen Sequenzprotokolls einzureichen. Die Änderungen sind in einem separaten Begleitschreiben im Einzelnen zu erläutern. Der Anmelder hat eine Erklärung beizufügen, dass das geänderte Sequenzprotokoll keinen Gegenstand umfasst, der über den Inhalt der Anmeldung in der ursprünglich eingereichten Fassung hinausgeht. Er hat in der Erklärung im Einzelnen anzugeben, an welcher Stelle die in dem geänderten Sequenzprotokoll beschriebenen Erfindungsmerkmale in den ursprünglichen Anmeldungsunterlagen offenbart sind. In dem geänderten Sequenzprotokoll ist die in dem ursprünglich eingereichten Sequenzprotokoll verwendete Nummerierung der Sequenzen beizubehalten. Soweit dies nicht möglich ist, sind die Sequenzen in der Reihenfolge zu nummerieren, in der sie in den ursprünglichen Anmeldungsunterlagen offenbart wurden.</w:t>
      </w:r>
    </w:p>
    <w:p>
      <w:r>
        <w:t xml:space="preserve">(2) Wird ein Sequenzprotokoll erstmalig nach dem Anmeldetag eingereicht, so stellt dies eine Änderung der Beschreibung nach § 34 Absatz 3 Nummer 4 des Patentgesetzes dar. Für diese Änderung gilt Absatz 1 Satz 2 bis 4 und 6 entsprechend. § 35 Absatz 3 des Patentgesetzes bleibt unberührt.</w:t>
      </w:r>
    </w:p>
    <w:p>
      <w:r>
        <w:rPr>
          <w:color w:val="555555"/>
          <w:sz w:val="17"/>
        </w:rPr>
        <w:t xml:space="preserve">Zitiervorschlag: § 11b PatV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https://recht.nulegal.eu/gesetze/PatV/11b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