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PatV — Darstellung von Nukleotid- und Aminosäuresequenzen; Sequenzprotokolle</w:t>
      </w:r>
    </w:p>
    <w:p>
      <w:r>
        <w:rPr>
          <w:color w:val="555555"/>
          <w:sz w:val="18"/>
        </w:rPr>
        <w:t xml:space="preserve">Patentverordnung</w:t>
      </w:r>
    </w:p>
    <w:p>
      <w:r>
        <w:rPr>
          <w:color w:val="555555"/>
          <w:sz w:val="18"/>
        </w:rPr>
        <w:t xml:space="preserve">Stand: 02.09.2022 (konsolidierte Textfassung, kein amtliches Inkrafttretensdatum)</w:t>
      </w:r>
    </w:p>
    <w:p>
      <w:r>
        <w:t xml:space="preserve">(1) Sind in der Patentanmeldung Nukleotid- oder Aminosäuresequenzen offenbart, die nach Satz 2 in ein Sequenzprotokoll aufgenommen werden müssen, so muss die Beschreibung nach § 34 Absatz 3 Nummer 4 des Patentgesetzes neben dem Hauptteil der Beschreibung (§ 10) als separaten Teil ein Sequenzprotokoll enthalten. In ein Sequenzprotokoll aufgenommen werden muss jede Sequenz, die an einer beliebigen Stelle in der Anmeldung durch Aufzählung der Reste offenbart wird und dargestellt werden kann</w:t>
      </w:r>
    </w:p>
    <w:p>
      <w:pPr>
        <w:ind w:left="420"/>
      </w:pPr>
      <w:r>
        <w:t xml:space="preserve">1. als unverzweigte Sequenz oder lineare Region einer verzweigten Sequenz aus zehn oder mehr spezifisch definierten Nukleotiden, wobei benachbarte Nukleotide verbunden sind durch</w:t>
      </w:r>
    </w:p>
    <w:p>
      <w:pPr>
        <w:ind w:left="780"/>
      </w:pPr>
      <w:r>
        <w:t xml:space="preserve">a) eine 3´-5´- (oder 5´-3´-)Phosphodiesterbindung oder</w:t>
      </w:r>
    </w:p>
    <w:p>
      <w:pPr>
        <w:ind w:left="780"/>
      </w:pPr>
      <w:r>
        <w:t xml:space="preserve">b) eine beliebige chemische Bindung, die zu einer Anordnung benachbarter Nukleinbasen führt, mit der die Anordnung der Nukleinbasen in natürlich vorkommenden Nukleinsäuren nachgeahmt wird, oder</w:t>
      </w:r>
    </w:p>
    <w:p>
      <w:pPr>
        <w:ind w:left="420"/>
      </w:pPr>
      <w:r>
        <w:t xml:space="preserve">2. als unverzweigte Sequenz oder lineare Region einer verzweigten Sequenz, die vier oder mehr spezifisch definierte Aminosäuren enthält, die ein einziges Peptid-Rückgrat bilden, das heißt, benachbarte Aminosäuren werden durch Peptidbindungen zusammengehalten.</w:t>
      </w:r>
    </w:p>
    <w:p>
      <w:r>
        <w:t xml:space="preserve">(2) Das Sequenzprotokoll muss dem Standard für die Darstellung von Nukleotid- und Aminosäuresequenzprotokollen in XML in seiner jeweils geltenden Fassung entsprechen, den das Deutsche Patent- und Markenamt im Bundesanzeiger bekannt macht. Das Deutsche Patent- und Markenamt macht neue Fassungen des Standards im Bundesanzeiger gemeinsam mit dem Zeitpunkt ihres Inkrafttretens und etwaigen Übergangsregelungen bekannt.</w:t>
      </w:r>
    </w:p>
    <w:p>
      <w:r>
        <w:t xml:space="preserve">(3) Die in den §§ 11 bis 11b verwendeten Begriffe sind entsprechend ihrer Bedeutung in dem in Absatz 2 Satz 1 bezeichneten Standard zu verstehen.</w:t>
      </w:r>
    </w:p>
    <w:p>
      <w:r>
        <w:t xml:space="preserve">(4) In den Patentansprüchen, dem Hauptteil der Beschreibung (§ 10) und den Zeichnungen soll auf die im Sequenzprotokoll dargestellten Sequenzen unter Verwendung der dort jeweils zugewiesenen Sequenzkennzahlen verwiesen werden.</w:t>
      </w:r>
    </w:p>
    <w:p>
      <w:r>
        <w:rPr>
          <w:color w:val="555555"/>
          <w:sz w:val="17"/>
        </w:rPr>
        <w:t xml:space="preserve">Zitiervorschlag: § 11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