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PatKostZV 2004 — Zahlungstag</w:t>
      </w:r>
    </w:p>
    <w:p>
      <w:r>
        <w:rPr>
          <w:color w:val="555555"/>
          <w:sz w:val="18"/>
        </w:rPr>
        <w:t xml:space="preserve">Patentkostenzahlungsverordnung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Als Zahlungstag gilt</w:t>
      </w:r>
    </w:p>
    <w:p>
      <w:pPr>
        <w:ind w:left="420"/>
      </w:pPr>
      <w:r>
        <w:t xml:space="preserve">1. bei Überweisungen der Tag, an dem der Betrag dem Konto der zuständigen Bundeskasse für das Deutsche Patent- und Markenamt gutgeschrieben wird;</w:t>
      </w:r>
    </w:p>
    <w:p>
      <w:pPr>
        <w:ind w:left="420"/>
      </w:pPr>
      <w:r>
        <w:t xml:space="preserve">2. bei Bareinzahlung auf das Konto der zuständigen Bundeskasse für das Deutsche Patent- und Markenamt der Tag der Einzahlung;</w:t>
      </w:r>
    </w:p>
    <w:p>
      <w:pPr>
        <w:ind w:left="420"/>
      </w:pPr>
      <w:r>
        <w:t xml:space="preserve">3. bei Erteilung eines SEPA-Basislastschriftmandats mit Angaben zum Verwendungszweck, der die Kosten umfasst, der Tag des Eingangs beim Deutschen Patent- und Markenamt oder beim Bundespatentgericht, bei zukünftig fällig werdenden Kosten der Tag der Fälligkeit, sofern die Einziehung zu Gunsten der zuständigen Bundeskasse für das Deutsche Patent- und Markenamt erfolgt. Wird das SEPA-Basislastschriftmandat durch Telefax übermittelt, ist dessen Original innerhalb einer Frist von einem Monat nach Eingang des Telefax nachzureichen. Andernfalls gilt als Zahlungstag der Tag des Eingangs des Originals;</w:t>
      </w:r>
    </w:p>
    <w:p>
      <w:pPr>
        <w:ind w:left="420"/>
      </w:pPr>
      <w:r>
        <w:t xml:space="preserve">4. bei elektronisch übermittelter Zahlung der Tag, an dem der Betrag dem Konto der zuständigen Bundeskasse für das Deutsche Patent- und Markenamt gutgeschrieben wird; bei Kartenzahlverfahren und dem Einsatz elektronischer Zahlungssysteme der Tag der Akzeptanz.</w:t>
      </w:r>
    </w:p>
    <w:p>
      <w:r>
        <w:rPr>
          <w:color w:val="555555"/>
          <w:sz w:val="17"/>
        </w:rPr>
        <w:t xml:space="preserve">Zitiervorschlag: § 2 PatKostZV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https://recht.nulegal.eu/gesetze/PatKostZV%202004/2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