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PatKostZV 2004 — Zahlungswege</w:t>
      </w:r>
    </w:p>
    <w:p>
      <w:r>
        <w:rPr>
          <w:color w:val="555555"/>
          <w:sz w:val="18"/>
        </w:rPr>
        <w:t xml:space="preserve">Patentkostenzahlungsverordnung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Kosten des Deutschen Patent- und Markenamts und des Bundespatentgerichts können gezahlt werden</w:t>
      </w:r>
    </w:p>
    <w:p>
      <w:pPr>
        <w:ind w:left="420"/>
      </w:pPr>
      <w:r>
        <w:t xml:space="preserve">1. durch Überweisung auf ein Konto der zuständigen Bundeskasse für das Deutsche Patent- und Markenamt;</w:t>
      </w:r>
    </w:p>
    <w:p>
      <w:pPr>
        <w:ind w:left="420"/>
      </w:pPr>
      <w:r>
        <w:t xml:space="preserve">2. durch Bareinzahlung bei einem inländischen oder ausländischen Geldinstitut auf ein Konto der zuständigen Bundeskasse für das Deutsche Patent- und Markenamt;</w:t>
      </w:r>
    </w:p>
    <w:p>
      <w:pPr>
        <w:ind w:left="420"/>
      </w:pPr>
      <w:r>
        <w:t xml:space="preserve">3. durch Erteilung eines gültigen SEPA-Basislastschriftmandats mit Angaben zum Verwendungszweck;</w:t>
      </w:r>
    </w:p>
    <w:p>
      <w:pPr>
        <w:ind w:left="420"/>
      </w:pPr>
      <w:r>
        <w:t xml:space="preserve">4. durch elektronisch übermittelte Zahlung auf ein Konto der zuständigen Bundeskasse für das Deutsche Patent- und Markenamt in Marken- und Designverfahren, wenn das Zahlungsmittel für die betreffende Verfahrenshandlung auf der Internetseite des Deutschen Patent- und Markenamts www.dpma.de bekannt gegeben ist.</w:t>
      </w:r>
    </w:p>
    <w:p>
      <w:r>
        <w:t xml:space="preserve">(2) Bei Zahlungen an das Deutsche Patent- und Markenamt sollen für eine Erklärung nach Absatz 1 Nummer 3 die über die Internetseite www.dpma.de bereitgestellten Formulare verwendet werden.</w:t>
      </w:r>
    </w:p>
    <w:p>
      <w:r>
        <w:t xml:space="preserve">(3) Das Deutsche Patent- und Markenamt macht im Blatt für Patent-, Muster- und Zeichenwesen bekannt, unter welchen Bedingungen Sammelzahlungen auf ein Konto bei der zuständigen Bundeskasse für das Deutsche Patent- und Markenamt zulässig und welche Angaben bei der Zahlung erforderlich sind.</w:t>
      </w:r>
    </w:p>
    <w:p>
      <w:r>
        <w:rPr>
          <w:color w:val="555555"/>
          <w:sz w:val="17"/>
        </w:rPr>
        <w:t xml:space="preserve">Zitiervorschlag: § 1 PatKostZV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https://recht.nulegal.eu/gesetze/PatKostZV%202004/1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