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PatKostG — Kostenansatz</w:t>
      </w:r>
    </w:p>
    <w:p>
      <w:r>
        <w:rPr>
          <w:color w:val="555555"/>
          <w:sz w:val="18"/>
        </w:rPr>
        <w:t xml:space="preserve">Patentkostengesetz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Kosten werden angesetzt:</w:t>
      </w:r>
    </w:p>
    <w:p>
      <w:pPr>
        <w:ind w:left="420"/>
      </w:pPr>
      <w:r>
        <w:t xml:space="preserve">1. beim Deutschen Patent- und Markenamt</w:t>
      </w:r>
    </w:p>
    <w:p>
      <w:pPr>
        <w:ind w:left="780"/>
      </w:pPr>
      <w:r>
        <w:t xml:space="preserve">a) bei Einreichung einer Anmeldung,</w:t>
      </w:r>
    </w:p>
    <w:p>
      <w:pPr>
        <w:ind w:left="780"/>
      </w:pPr>
      <w:r>
        <w:t xml:space="preserve">b) bei Einreichung eines Antrags,</w:t>
      </w:r>
    </w:p>
    <w:p>
      <w:pPr>
        <w:ind w:left="780"/>
      </w:pPr>
      <w:r>
        <w:t xml:space="preserve">c) im Fall eines Beitritts zum Einspruchsverfahren,</w:t>
      </w:r>
    </w:p>
    <w:p>
      <w:pPr>
        <w:ind w:left="780"/>
      </w:pPr>
      <w:r>
        <w:t xml:space="preserve">d) bei Einreichung eines Antrags auf gerichtliche Entscheidung nach § 61 Abs. 2 des Patentgesetzes sowie</w:t>
      </w:r>
    </w:p>
    <w:p>
      <w:pPr>
        <w:ind w:left="780"/>
      </w:pPr>
      <w:r>
        <w:t xml:space="preserve">e) bei Einlegung eines Rechtsbehelfs oder Rechtsmittels,</w:t>
      </w:r>
    </w:p>
    <w:p>
      <w:pPr>
        <w:ind w:left="420"/>
      </w:pPr>
      <w:r>
        <w:t xml:space="preserve">2. beim Bundespatentgericht</w:t>
      </w:r>
    </w:p>
    <w:p>
      <w:pPr>
        <w:ind w:left="780"/>
      </w:pPr>
      <w:r>
        <w:t xml:space="preserve">a) bei Einreichung einer Klage,</w:t>
      </w:r>
    </w:p>
    <w:p>
      <w:pPr>
        <w:ind w:left="780"/>
      </w:pPr>
      <w:r>
        <w:t xml:space="preserve">b) bei Einreichung eines Antrags auf Erlass einer einstweiligen Verfügung,</w:t>
      </w:r>
    </w:p>
    <w:p>
      <w:pPr>
        <w:ind w:left="780"/>
      </w:pPr>
      <w:r>
        <w:t xml:space="preserve">c) im Fall eines Beitritts zum Einspruch im Beschwerdeverfahren oder im Verfahren nach § 61 Abs. 2 des Patentgesetzes sowie</w:t>
      </w:r>
    </w:p>
    <w:p>
      <w:pPr>
        <w:ind w:left="780"/>
      </w:pPr>
      <w:r>
        <w:t xml:space="preserve">d) bei einer erfolglosen Rüge wegen Verletzung des Anspruchs auf rechtliches Gehör,</w:t>
      </w:r>
    </w:p>
    <w:p>
      <w:r>
        <w:t xml:space="preserve">auch wenn sie bei einem ersuchten Gericht oder einer ersuchten Behörde entstanden sind.</w:t>
      </w:r>
    </w:p>
    <w:p>
      <w:r>
        <w:t xml:space="preserve">(2) Die Stelle, die die Kosten angesetzt hat, trifft auch die Entscheidungen nach den §§ 9 und 10.</w:t>
      </w:r>
    </w:p>
    <w:p>
      <w:r>
        <w:rPr>
          <w:color w:val="555555"/>
          <w:sz w:val="17"/>
        </w:rPr>
        <w:t xml:space="preserve">Zitiervorschlag: § 8 PatKostG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https://recht.nulegal.eu/gesetze/PatKostG/8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