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PatKostG — Zahlungsfristen für Jahres-, Aufrechterhaltungs- und Schutzrechtsverlängerungsgebühren, Verspätungszuschlag</w:t>
      </w:r>
    </w:p>
    <w:p>
      <w:r>
        <w:rPr>
          <w:color w:val="555555"/>
          <w:sz w:val="18"/>
        </w:rPr>
        <w:t xml:space="preserve">Patentkostengesetz</w:t>
      </w:r>
    </w:p>
    <w:p>
      <w:r>
        <w:rPr>
          <w:color w:val="555555"/>
          <w:sz w:val="18"/>
        </w:rPr>
        <w:t xml:space="preserve">Stand: 10.06.2019 (konsolidierte Textfassung, kein amtliches Inkrafttretensdatum)</w:t>
      </w:r>
    </w:p>
    <w:p>
      <w:r>
        <w:t xml:space="preserve">(1) Die Jahresgebühren für Patente, Schutzzertifikate und Patentanmeldungen und die Aufrechterhaltungsgebühren für Gebrauchsmuster und eingetragene Designs sind bis zum Ablauf des zweiten Monats nach Fälligkeit zu zahlen. Wird die Gebühr innerhalb dieser Frist nicht gezahlt, so kann sie mit dem Verspätungszuschlag noch bis zum Ablauf des sechsten Monats nach Fälligkeit gezahlt werden.</w:t>
      </w:r>
    </w:p>
    <w:p>
      <w:r>
        <w:t xml:space="preserve">(2) Für eingetragene Designs ist bei Aufschiebung der Bildbekanntmachung die Erstreckungsgebühr innerhalb der Aufschiebungsfrist (§ 21 Absatz 1 Satz 1 des Designgesetzes) zu zahlen.</w:t>
      </w:r>
    </w:p>
    <w:p>
      <w:r>
        <w:t xml:space="preserve">(3) Die Verlängerungsgebühren für Marken sind innerhalb eines Zeitraums von sechs Monaten nach Fälligkeit zu zahlen. Wird die Gebühr nicht innerhalb dieser Frist gezahlt, so kann die Gebühr mit dem Verspätungszuschlag noch innerhalb einer Nachfrist von sechs Monaten nach Ablauf der Schutzdauer gemäß § 47 Absatz 1 des Markengesetzes gezahlt werden.</w:t>
      </w:r>
    </w:p>
    <w:p>
      <w:r>
        <w:rPr>
          <w:color w:val="555555"/>
          <w:sz w:val="17"/>
        </w:rPr>
        <w:t xml:space="preserve">Zitiervorschlag: § 7 PatKostG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https://recht.nulegal.eu/gesetze/PatKostG/7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