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PatKostG — Vorauszahlung, Vorschuss</w:t>
      </w:r>
    </w:p>
    <w:p>
      <w:r>
        <w:rPr>
          <w:color w:val="555555"/>
          <w:sz w:val="18"/>
        </w:rPr>
        <w:t xml:space="preserve">Patentkostengesetz</w:t>
      </w:r>
    </w:p>
    <w:p>
      <w:r>
        <w:rPr>
          <w:color w:val="555555"/>
          <w:sz w:val="18"/>
        </w:rPr>
        <w:t xml:space="preserve">Stand: 01.05.2022 (konsolidierte Textfassung, kein amtliches Inkrafttretensdatum)</w:t>
      </w:r>
    </w:p>
    <w:p>
      <w:r>
        <w:t xml:space="preserve">(1) In Verfahren vor dem Deutschen Patent- und Markenamt soll die Bearbeitung erst nach Zahlung der Gebühr für das Verfahren erfolgen; das gilt auch, wenn Anträge geändert werden. Satz 1 gilt nicht für die Anträge auf Weiterleitung einer Anmeldung an das Amt der Europäischen Union für geistiges Eigentum nach § 62 des Designgesetzes und die Anträge auf Weiterleitung internationaler Anmeldungen an das Internationale Büro der Weltorganisation für geistiges Eigentum nach § 68 des Designgesetzes. In Verfahren vor dem Bundespatentgericht soll die Klage erst nach Zahlung der Gebühr für das Verfahren zugestellt werden; bei Vorliegen eines gültigen SEPA-Basislastschriftmandats mit Angaben zum Verwendungszweck soll die Klage sofort zugestellt werden. Im Fall eines Beitritts zum Einspruch im Beschwerdeverfahren oder eines Beitritts zum Einspruch im Fall der gerichtlichen Entscheidung nach § 61 Absatz 2 des Patentgesetzes soll vor Zahlung der Gebühr keine gerichtliche Handlung vorgenommen werden.</w:t>
      </w:r>
    </w:p>
    <w:p>
      <w:r>
        <w:t xml:space="preserve">(2) Die Jahresgebühren für Patente und Patentanmeldungen und die Aufrechterhaltungsgebühren für Gebrauchsmuster und eingetragene Designs dürfen frühestens ein Jahr vor Eintritt der Fälligkeit vorausgezahlt werden, soweit nichts anderes bestimmt ist. Die Verlängerungsgebühren für Marken dürfen frühestens sechs Monate vor Eintritt der Fälligkeit vorausgezahlt werden. Die Jahresgebühren für Schutzzertifikate dürfen schon früher als ein Jahr vor Eintritt der Fälligkeit vorausgezahlt werden.</w:t>
      </w:r>
    </w:p>
    <w:p>
      <w:r>
        <w:rPr>
          <w:color w:val="555555"/>
          <w:sz w:val="17"/>
        </w:rPr>
        <w:t xml:space="preserve">Zitiervorschlag: § 5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