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PatKostG — Höhe der Gebühren</w:t>
      </w:r>
    </w:p>
    <w:p>
      <w:r>
        <w:rPr>
          <w:color w:val="555555"/>
          <w:sz w:val="18"/>
        </w:rPr>
        <w:t xml:space="preserve">Patentkostengesetz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Gebühren werden nach dem Gebührenverzeichnis der Anlage zu diesem Gesetz erhoben.</w:t>
      </w:r>
    </w:p>
    <w:p>
      <w:r>
        <w:t xml:space="preserve">(2) Für Klagen und einstweilige Verfügungen vor dem Bundespatentgericht richten sich die Gebühren nach dem Streitwert. Die Höhe der Gebühr bestimmt sich nach § 34 des Gerichtskostengesetzes. Der Mindestbetrag einer Gebühr beträgt 121 Euro. Für die Festsetzung des Streitwerts gelten die Vorschriften des Gerichtskostengesetzes entsprechend. Die Regelungen über die Streitwertherabsetzung (§ 144 des Patentgesetzes und § 26 des Gebrauchsmustergesetzes) sind entsprechend anzuwenden.</w:t>
      </w:r>
    </w:p>
    <w:p>
      <w:r>
        <w:rPr>
          <w:color w:val="555555"/>
          <w:sz w:val="17"/>
        </w:rPr>
        <w:t xml:space="preserve">Zitiervorschlag: § 2 PatKostG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https://recht.nulegal.eu/gesetze/PatKostG/2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