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PatKostG — Geltungsbereich, Verordnungsermächtigungen</w:t>
      </w:r>
    </w:p>
    <w:p>
      <w:r>
        <w:rPr>
          <w:color w:val="555555"/>
          <w:sz w:val="18"/>
        </w:rPr>
        <w:t xml:space="preserve">Patentkostengesetz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Gebühren des Deutschen Patent- und Markenamts und des Bundespatentgerichts werden, soweit gesetzlich nichts anderes bestimmt ist, nach diesem Gesetz erhoben. Für Auslagen in Verfahren vor dem Bundespatentgericht ist das Gerichtskostengesetz anzuwenden.</w:t>
      </w:r>
    </w:p>
    <w:p>
      <w:r>
        <w:t xml:space="preserve">(2) Das Bundesministerium der Justiz und für Verbraucherschutz wird ermächtigt, durch Rechtsverordnung, die nicht der Zustimmung des Bundesrates bedarf, zu bestimmen,</w:t>
      </w:r>
    </w:p>
    <w:p>
      <w:pPr>
        <w:ind w:left="420"/>
      </w:pPr>
      <w:r>
        <w:t xml:space="preserve">1. dass in Verfahren vor dem Deutschen Patent- und Markenamt neben den nach diesem Gesetz erhobenen Gebühren auch Auslagen sowie Verwaltungskosten (Gebühren und Auslagen für Bescheinigungen, Beglaubigungen, Akteneinsicht und Auskünfte und sonstige Amtshandlungen) erhoben werden und</w:t>
      </w:r>
    </w:p>
    <w:p>
      <w:pPr>
        <w:ind w:left="420"/>
      </w:pPr>
      <w:r>
        <w:t xml:space="preserve">2. welche Zahlungswege für die an das Deutsche Patent- und Markenamt und das Bundespatentgericht zu zahlenden Kosten (Gebühren und Auslagen) gelten und Bestimmungen über den Zahlungstag zu treffen.</w:t>
      </w:r>
    </w:p>
    <w:p>
      <w:r>
        <w:rPr>
          <w:color w:val="555555"/>
          <w:sz w:val="17"/>
        </w:rPr>
        <w:t xml:space="preserve">Zitiervorschlag: § 1 PatKostG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https://recht.nulegal.eu/gesetze/PatKostG/1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