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PatGebErstG</w:t>
      </w:r>
    </w:p>
    <w:p>
      <w:r>
        <w:rPr>
          <w:color w:val="555555"/>
          <w:sz w:val="18"/>
        </w:rPr>
        <w:t xml:space="preserve">Vertretergebühren-Erstattungsgesetz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In Verfahren vor dem Bundesgerichtshof werden dem beigeordneten Vertreter Gebühren und Auslagen in entsprechender Anwendung der Vorschriften des Rechtsanwaltsvergütungsgesetzes, die für die Vergütung bei Prozesskostenhilfe gelten, erstattet.</w:t>
      </w:r>
    </w:p>
    <w:p>
      <w:r>
        <w:rPr>
          <w:color w:val="555555"/>
          <w:sz w:val="17"/>
        </w:rPr>
        <w:t xml:space="preserve">Zitiervorschlag: § 9 PatGebErstG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https://recht.nulegal.eu/gesetze/PatGebErstG/9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