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PatGebErstG</w:t>
      </w:r>
    </w:p>
    <w:p>
      <w:r>
        <w:rPr>
          <w:color w:val="555555"/>
          <w:sz w:val="18"/>
        </w:rPr>
        <w:t xml:space="preserve">Vertretergebühren-Erstattungsgesetz</w:t>
      </w:r>
    </w:p>
    <w:p>
      <w:r>
        <w:rPr>
          <w:color w:val="555555"/>
          <w:sz w:val="18"/>
        </w:rPr>
        <w:t xml:space="preserve">Historische Fassung: Stand 10.06.2019 bis 01.08.2022. Dies ist nicht die aktuelle Fassung.</w:t>
      </w:r>
    </w:p>
    <w:p>
      <w:r>
        <w:t xml:space="preserve">Die in den §§ 2 bis 3b genannten Gebühren umfassen die gesamte Tätigkeit des Vertreters von der Beiordnung bis zur Beendigung des Rechtszuges. Jede der Gebühren kann der Vertreter in jedem Rechtszug nur einmal beanspruchen.</w:t>
      </w:r>
    </w:p>
    <w:p>
      <w:r>
        <w:rPr>
          <w:color w:val="555555"/>
          <w:sz w:val="17"/>
        </w:rPr>
        <w:t xml:space="preserve">Zitiervorschlag: § 6 PatGebErstG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https://recht.nulegal.eu/gesetze/PatGebErstG/6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