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PatGebErstG</w:t>
      </w:r>
    </w:p>
    <w:p>
      <w:r>
        <w:rPr>
          <w:color w:val="555555"/>
          <w:sz w:val="18"/>
        </w:rPr>
        <w:t xml:space="preserve">Vertretergebühren-Erstattungsgesetz</w:t>
      </w:r>
    </w:p>
    <w:p>
      <w:r>
        <w:rPr>
          <w:color w:val="555555"/>
          <w:sz w:val="18"/>
        </w:rPr>
        <w:t xml:space="preserve">Historische Fassung: Stand 10.06.2019 bis 01.08.2022. Dies ist nicht die aktuelle Fassung.</w:t>
      </w:r>
    </w:p>
    <w:p>
      <w:r>
        <w:t xml:space="preserve">Der Vertreter, dessen Tätigkeit sich auf die Vertretung in einem nur zur Beweisaufnahme bestimmten Termin oder auf die Wahrnehmung eines anberaumten Termins zur Anhörung eines Beteiligten beschränkt, erhält die Verfahrensgebühr für den Verfahrensabschnitt, in dem die Wahrnehmung des Termins erfolgte, zur Hälfte.</w:t>
      </w:r>
    </w:p>
    <w:p>
      <w:r>
        <w:rPr>
          <w:color w:val="555555"/>
          <w:sz w:val="17"/>
        </w:rPr>
        <w:t xml:space="preserve">Zitiervorschlag: § 5 PatGebErstG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https://recht.nulegal.eu/gesetze/PatGebErstG/5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