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PatGebErstG</w:t>
      </w:r>
    </w:p>
    <w:p>
      <w:r>
        <w:rPr>
          <w:color w:val="555555"/>
          <w:sz w:val="18"/>
        </w:rPr>
        <w:t xml:space="preserve">Vertretergebühren-Erstattungsgesetz</w:t>
      </w:r>
    </w:p>
    <w:p>
      <w:r>
        <w:rPr>
          <w:color w:val="555555"/>
          <w:sz w:val="18"/>
        </w:rPr>
        <w:t xml:space="preserve">Historische Fassung: Stand 10.06.2019 bis 01.08.2022. Dies ist nicht die aktuelle Fassung.</w:t>
      </w:r>
    </w:p>
    <w:p>
      <w:r>
        <w:t xml:space="preserve">Wenn sich die Beiordnung erledigt, ohne daß der Vertreter eine Anmeldung oder einen die Sache betreffenden Schriftsatz eingereicht hat, erhält er die Verfahrensgebühr für den Verfahrensabschnitt, in dem die Erledigung eingetreten ist, zur Hälfte.</w:t>
      </w:r>
    </w:p>
    <w:p>
      <w:r>
        <w:rPr>
          <w:color w:val="555555"/>
          <w:sz w:val="17"/>
        </w:rPr>
        <w:t xml:space="preserve">Zitiervorschlag: § 4 PatGebErstG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https://recht.nulegal.eu/gesetze/PatGebErstG/4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