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PatGebErstG</w:t>
      </w:r>
    </w:p>
    <w:p>
      <w:r>
        <w:rPr>
          <w:color w:val="555555"/>
          <w:sz w:val="18"/>
        </w:rPr>
        <w:t xml:space="preserve">Vertretergebühren-Erstattungsgesetz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In Patent-, Gebrauchsmuster-, Design-, Topographieschutz- und Sortenschutzsachen werden im Falle der Bewilligung von Verfahrenskostenhilfe dem beigeordneten Vertreter die Gebühren und Auslagen nach Maßgabe dieses Gesetzes erstattet.</w:t>
      </w:r>
    </w:p>
    <w:p>
      <w:r>
        <w:rPr>
          <w:color w:val="555555"/>
          <w:sz w:val="17"/>
        </w:rPr>
        <w:t xml:space="preserve">Zitiervorschlag: § 1 PatGebErstG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https://recht.nulegal.eu/gesetze/PatGebErstG/1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