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Schreibfehler, Rechenfehler und ähnliche offenbare Unrichtigkeiten in der Entscheidung sind jederzeit vom Patentgericht zu berichtigen.</w:t>
      </w:r>
    </w:p>
    <w:p>
      <w:r>
        <w:t xml:space="preserve">(2) Über die Berichtigung kann ohne vorgängige mündliche Verhandlung entschieden werden. Der Berichtigungsbeschluß wird auf der Entscheidung und den Ausfertigungen vermerkt.</w:t>
      </w:r>
    </w:p>
    <w:p>
      <w:r>
        <w:rPr>
          <w:color w:val="555555"/>
          <w:sz w:val="17"/>
        </w:rPr>
        <w:t xml:space="preserve">Zitiervorschlag: § 95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