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Patentgericht entscheidet nach seiner freien, aus dem Gesamtergebnis des Verfahrens gewonnenen Überzeugung. In der Entscheidung sind die Gründe anzugeben, die für die richterliche Überzeugung leitend gewesen sind.</w:t>
      </w:r>
    </w:p>
    <w:p>
      <w:r>
        <w:t xml:space="preserve">(2) Die Entscheidung darf nur auf Tatsachen und Beweisergebnisse gestützt werden, zu denen die Beteiligten sich äußern konnten.</w:t>
      </w:r>
    </w:p>
    <w:p>
      <w:r>
        <w:t xml:space="preserve">(3) Ist eine mündliche Verhandlung vorhergegangen, so kann ein Richter, der bei der letzten mündlichen Verhandlung nicht zugegen war, bei der Beschlußfassung nur mitwirken, wenn die Beteiligten zustimmen.</w:t>
      </w:r>
    </w:p>
    <w:p>
      <w:r>
        <w:rPr>
          <w:color w:val="555555"/>
          <w:sz w:val="17"/>
        </w:rPr>
        <w:t xml:space="preserve">Zitiervorschlag: § 93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