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hat die Sache mit den Beteiligten tatsächlich und rechtlich zu erörtern.</w:t>
      </w:r>
    </w:p>
    <w:p>
      <w:r>
        <w:t xml:space="preserve">(2) Der Vorsitzende hat jedem Mitglied des Senats auf Verlangen zu gestatten, Fragen zu stellen. Wird eine Frage beanstandet, so entscheidet der Senat.</w:t>
      </w:r>
    </w:p>
    <w:p>
      <w:r>
        <w:t xml:space="preserve">(3) Nach Erörterung der Sache erklärt der Vorsitzende die mündliche Verhandlung für geschlossen. Der Senat kann die Wiedereröffnung beschließen.</w:t>
      </w:r>
    </w:p>
    <w:p>
      <w:r>
        <w:rPr>
          <w:color w:val="555555"/>
          <w:sz w:val="17"/>
        </w:rPr>
        <w:t xml:space="preserve">Zitiervorschlag: § 91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