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Sobald der Termin zur mündlichen Verhandlung bestimmt ist, sind die Beteiligten mit einer Ladungsfrist von mindestens zwei Wochen zu laden. In dringenden Fällen kann der Vorsitzende die Frist abkürzen.</w:t>
      </w:r>
    </w:p>
    <w:p>
      <w:r>
        <w:t xml:space="preserve">(2) Bei der Ladung ist darauf hinzuweisen, daß beim Ausbleiben eines Beteiligten auch ohne ihn verhandelt und entschieden werden kann.</w:t>
      </w:r>
    </w:p>
    <w:p>
      <w:r>
        <w:rPr>
          <w:color w:val="555555"/>
          <w:sz w:val="17"/>
        </w:rPr>
        <w:t xml:space="preserve">Zitiervorschlag: § 89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