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mündliche Verhandlung findet statt, wenn</w:t>
      </w:r>
    </w:p>
    <w:p>
      <w:pPr>
        <w:ind w:left="420"/>
      </w:pPr>
      <w:r>
        <w:t xml:space="preserve">1. einer der Beteiligten sie beantragt,</w:t>
      </w:r>
    </w:p>
    <w:p>
      <w:pPr>
        <w:ind w:left="420"/>
      </w:pPr>
      <w:r>
        <w:t xml:space="preserve">2. vor dem Patentgericht Beweis erhoben wird (§ 88 Abs. 1) oder</w:t>
      </w:r>
    </w:p>
    <w:p>
      <w:pPr>
        <w:ind w:left="420"/>
      </w:pPr>
      <w:r>
        <w:t xml:space="preserve">3. das Patentgericht sie für sachdienlich erachtet.</w:t>
      </w:r>
    </w:p>
    <w:p>
      <w:r>
        <w:rPr>
          <w:color w:val="555555"/>
          <w:sz w:val="17"/>
        </w:rPr>
        <w:t xml:space="preserve">Zitiervorschlag: § 78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