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Beschwerde hat aufschiebende Wirkung.</w:t>
      </w:r>
    </w:p>
    <w:p>
      <w:r>
        <w:t xml:space="preserve">(2) Die Beschwerde hat jedoch keine aufschiebende Wirkung, wenn sie sich gegen einen Beschluß der Prüfungsstelle richtet, durch den eine Anordnung nach § 50 Abs. 1 erlassen worden ist.</w:t>
      </w:r>
    </w:p>
    <w:p>
      <w:r>
        <w:rPr>
          <w:color w:val="555555"/>
          <w:sz w:val="17"/>
        </w:rPr>
        <w:t xml:space="preserve">Zitiervorschlag: § 75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