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Beschwerde steht den am Verfahren vor dem Deutschen Patent- und Markenamt Beteiligten zu.</w:t>
      </w:r>
    </w:p>
    <w:p>
      <w:r>
        <w:t xml:space="preserve">(2) In den Fällen des § 31 Abs. 5 und des § 50 Abs. 1 und 2 steht die Beschwerde auch der zuständigen obersten Bundesbehörde zu.</w:t>
      </w:r>
    </w:p>
    <w:p>
      <w:r>
        <w:rPr>
          <w:color w:val="555555"/>
          <w:sz w:val="17"/>
        </w:rPr>
        <w:t xml:space="preserve">Zitiervorschlag: § 74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