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Verhandlung vor den Beschwerdesenaten ist öffentlich, sofern ein Hinweis auf die Möglichkeit der Akteneinsicht nach § 32 Abs. 5 oder die Patentschrift nach § 58 Abs. 1 veröffentlicht worden ist. Die §§ 171b bis 175 des Gerichtsverfassungsgesetzes sind entsprechend anzuwenden mit der Maßgabe, daß</w:t>
      </w:r>
    </w:p>
    <w:p>
      <w:pPr>
        <w:ind w:left="420"/>
      </w:pPr>
      <w:r>
        <w:t xml:space="preserve">1. die Öffentlichkeit für die Verhandlung auf Antrag eines Beteiligten auch dann ausgeschlossen werden kann, wenn sie eine Gefährdung schutzwürdiger Interessen des Antragstellers besorgen läßt,</w:t>
      </w:r>
    </w:p>
    <w:p>
      <w:pPr>
        <w:ind w:left="420"/>
      </w:pPr>
      <w:r>
        <w:t xml:space="preserve">2. die Öffentlichkeit für die Verkündung der Beschlüsse bis zur Veröffentlichung eines Hinweises auf die Möglichkeit der Akteneinsicht nach § 32 Abs. 5 oder bis zur Veröffentlichung der Patentschrift nach § 58 Abs. 1 ausgeschlossen ist.</w:t>
      </w:r>
    </w:p>
    <w:p>
      <w:r>
        <w:t xml:space="preserve">(2) Die Verhandlung vor den Nichtigkeitssenaten einschließlich der Verkündung der Entscheidungen ist öffentlich. Absatz 1 Satz 2 Nr. 1 gilt entsprechend.</w:t>
      </w:r>
    </w:p>
    <w:p>
      <w:r>
        <w:t xml:space="preserve">(3) Die Aufrechterhaltung der Ordnung in den Sitzungen der Senate obliegt dem Vorsitzenden. Die §§ 177 bis 180, 182 und 183 des Gerichtsverfassungsgesetzes über die Sitzungspolizei gelten entsprechend.</w:t>
      </w:r>
    </w:p>
    <w:p>
      <w:r>
        <w:rPr>
          <w:color w:val="555555"/>
          <w:sz w:val="17"/>
        </w:rPr>
        <w:t xml:space="preserve">Zitiervorschlag: § 69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