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PatG</w:t>
      </w:r>
    </w:p>
    <w:p>
      <w:r>
        <w:rPr>
          <w:color w:val="555555"/>
          <w:sz w:val="18"/>
        </w:rPr>
        <w:t xml:space="preserve">Patentgesetz</w:t>
      </w:r>
    </w:p>
    <w:p>
      <w:r>
        <w:rPr>
          <w:color w:val="555555"/>
          <w:sz w:val="18"/>
        </w:rPr>
        <w:t xml:space="preserve">Stand: 10.06.2019 (konsolidierte Textfassung, kein amtliches Inkrafttretensdatum)</w:t>
      </w:r>
    </w:p>
    <w:p>
      <w:r>
        <w:t xml:space="preserve">Für das Patentgericht gelten die Vorschriften des Zweiten Titels des Gerichtsverfassungsgesetzes nach folgender Maßgabe entsprechend:</w:t>
      </w:r>
    </w:p>
    <w:p>
      <w:pPr>
        <w:ind w:left="420"/>
      </w:pPr>
      <w:r>
        <w:t xml:space="preserve">1. In den Fällen, in denen auf Grund des Wahlergebnisses ein rechtskundiger Richter dem Präsidium nicht angehören würde, gilt der rechtskundige Richter als gewählt, der von den rechtskundigen Mitgliedern die höchste Stimmenzahl erreicht hat.</w:t>
      </w:r>
    </w:p>
    <w:p>
      <w:pPr>
        <w:ind w:left="420"/>
      </w:pPr>
      <w:r>
        <w:t xml:space="preserve">2. Über die Wahlanfechtung (§ 21b Abs. 6 des Gerichtsverfassungsgesetzes) entscheidet ein Senat des Patentgerichts in der Besetzung mit drei rechtskundigen Richtern.</w:t>
      </w:r>
    </w:p>
    <w:p>
      <w:pPr>
        <w:ind w:left="420"/>
      </w:pPr>
      <w:r>
        <w:t xml:space="preserve">3. Den ständigen Vertreter des Präsidenten ernennt der Bundesminister der Justiz und für Verbraucherschutz.</w:t>
      </w:r>
    </w:p>
    <w:p>
      <w:r>
        <w:rPr>
          <w:color w:val="555555"/>
          <w:sz w:val="17"/>
        </w:rPr>
        <w:t xml:space="preserve">Zitiervorschlag: § 68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