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Patentgericht werden gebildet</w:t>
      </w:r>
    </w:p>
    <w:p>
      <w:pPr>
        <w:ind w:left="420"/>
      </w:pPr>
      <w:r>
        <w:t xml:space="preserve">1. Senate für die Entscheidung über Beschwerden (Beschwerdesenate);</w:t>
      </w:r>
    </w:p>
    <w:p>
      <w:pPr>
        <w:ind w:left="420"/>
      </w:pPr>
      <w:r>
        <w:t xml:space="preserve">2. Senate für die Entscheidung über Klagen auf Erklärung der Nichtigkeit von Patenten und in Zwangslizenzverfahren (Nichtigkeitssenate).</w:t>
      </w:r>
    </w:p>
    <w:p>
      <w:r>
        <w:t xml:space="preserve">(2) Die Zahl der Senate bestimmt der Bundesminister der Justiz und für Verbraucherschutz.</w:t>
      </w:r>
    </w:p>
    <w:p>
      <w:r>
        <w:rPr>
          <w:color w:val="555555"/>
          <w:sz w:val="17"/>
        </w:rPr>
        <w:t xml:space="preserve">Zitiervorschlag: § 66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