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PatG</w:t>
      </w:r>
    </w:p>
    <w:p>
      <w:r>
        <w:rPr>
          <w:color w:val="555555"/>
          <w:sz w:val="18"/>
        </w:rPr>
        <w:t xml:space="preserve">Patentgesetz</w:t>
      </w:r>
    </w:p>
    <w:p>
      <w:r>
        <w:rPr>
          <w:color w:val="555555"/>
          <w:sz w:val="18"/>
        </w:rPr>
        <w:t xml:space="preserve">Stand: 14.10.2021 (konsolidierte Textfassung, kein amtliches Inkrafttretensdatum)</w:t>
      </w:r>
    </w:p>
    <w:p>
      <w:r>
        <w:t xml:space="preserve">(1) Ein Anmelder, Patentinhaber oder sein Rechtsnachfolger, der die Verwertung einer nach den §§ 1 bis 5 patentfähigen Erfindung für friedliche Zwecke mit Rücksicht auf eine Anordnung nach § 50 Abs. 1 unterläßt, hat wegen des ihm hierdurch entstehenden Vermögensschadens einen Anspruch auf Entschädigung gegen den Bund, wenn und soweit ihm nicht zugemutet werden kann, den Schaden selbst zu tragen. Bei Beurteilung der Zumutbarkeit sind insbesondere die wirtschaftliche Lage des Geschädigten, die Höhe seiner für die Erfindung oder für den Erwerb der Rechte an der Erfindung gemachten Aufwendungen, der bei Entstehung der Aufwendungen für ihn erkennbare Grad der Wahrscheinlichkeit einer Geheimhaltungsbedürftigkeit der Erfindung sowie der Nutzen zu berücksichtigen, der dem Geschädigten aus einer sonstigen Verwertung der Erfindung zufließt. Der Anspruch kann erst nach der Erteilung des Patents geltend gemacht werden. Die Entschädigung kann nur jeweils nachträglich und für Zeitabschnitte, die nicht kürzer als ein Jahr sind, verlangt werden.</w:t>
      </w:r>
    </w:p>
    <w:p>
      <w:r>
        <w:t xml:space="preserve">(2) Der Anspruch ist bei der zuständigen obersten Bundesbehörde geltend zu machen. Der Rechtsweg vor den ordentlichen Gerichten steht offen.</w:t>
      </w:r>
    </w:p>
    <w:p>
      <w:r>
        <w:t xml:space="preserve">(3) Eine Entschädigung gemäß Absatz 1 wird nur gewährt, wenn die erste Anmeldung der Erfindung beim Deutschen Patent- und Markenamt eingereicht und die Erfindung nicht schon vor dem Erlaß einer Anordnung nach § 50 Abs. 1 von einem fremden Staat aus Verteidigungsgründen geheimgehalten worden ist.</w:t>
      </w:r>
    </w:p>
    <w:p>
      <w:r>
        <w:rPr>
          <w:color w:val="555555"/>
          <w:sz w:val="17"/>
        </w:rPr>
        <w:t xml:space="preserve">Zitiervorschlag: § 55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