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50 PatG</w:t>
      </w:r>
    </w:p>
    <w:p>
      <w:r>
        <w:rPr>
          <w:color w:val="555555"/>
          <w:sz w:val="18"/>
        </w:rPr>
        <w:t xml:space="preserve">Patentgesetz</w:t>
      </w:r>
    </w:p>
    <w:p>
      <w:r>
        <w:rPr>
          <w:color w:val="555555"/>
          <w:sz w:val="18"/>
        </w:rPr>
        <w:t xml:space="preserve">Stand: 10.06.2019 (konsolidierte Textfassung, kein amtliches Inkrafttretensdatum)</w:t>
      </w:r>
    </w:p>
    <w:p>
      <w:r>
        <w:t xml:space="preserve">(1) Wird ein Patent für eine Erfindung nachgesucht, die ein Staatsgeheimnis (§ 93 des Strafgesetzbuches) ist, so ordnet die Prüfungsstelle von Amts wegen an, daß jede Veröffentlichung unterbleibt. Die zuständige oberste Bundesbehörde ist vor der Anordnung zu hören. Sie kann den Erlaß einer Anordnung beantragen.</w:t>
      </w:r>
    </w:p>
    <w:p>
      <w:r>
        <w:t xml:space="preserve">(2) Die Prüfungsstelle hebt von Amts wegen oder auf Antrag der zuständigen obersten Bundesbehörde, des Anmelders oder des Patentinhabers eine Anordnung nach Absatz 1 auf, wenn deren Voraussetzungen entfallen sind. Die Prüfungsstelle prüft in jährlichen Abständen, ob die Voraussetzungen der Anordnung nach Absatz 1 fortbestehen. Vor der Aufhebung einer Anordnung nach Absatz 1 ist die zuständige oberste Bundesbehörde zu hören.</w:t>
      </w:r>
    </w:p>
    <w:p>
      <w:r>
        <w:t xml:space="preserve">(3) Die Prüfungsstelle gibt den Beteiligten Nachricht, wenn gegen einen Beschluß der Prüfungsstelle, durch den ein Antrag auf Erlaß einer Anordnung nach Absatz 1 zurückgewiesen oder eine Anordnung nach Absatz 1 aufgehoben worden ist, innerhalb der Beschwerdefrist (§ 73 Abs. 2) keine Beschwerde eingegangen ist.</w:t>
      </w:r>
    </w:p>
    <w:p>
      <w:r>
        <w:t xml:space="preserve">(4) Die Absätze 1 bis 3 sind auf eine Erfindung entsprechend anzuwenden, die von einem fremden Staat aus Verteidigungsgründen geheimgehalten und der Bundesregierung mit deren Zustimmung unter der Auflage anvertraut wird, die Geheimhaltung zu wahren.</w:t>
      </w:r>
    </w:p>
    <w:p>
      <w:r>
        <w:rPr>
          <w:color w:val="555555"/>
          <w:sz w:val="17"/>
        </w:rPr>
        <w:t xml:space="preserve">Zitiervorschlag: § 50 PatG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https://recht.nulegal.eu/gesetze/PatG/50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