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Genügt die Anmeldung den Anforderungen der §§ 34, 37 und 38, sind nach § 45 Abs. 1 gerügte Mängel der Zusammenfassung beseitigt und ist der Gegenstand der Anmeldung nach den §§ 1 bis 5 patentfähig, so beschließt die Prüfungsstelle die Erteilung des Patents.</w:t>
      </w:r>
    </w:p>
    <w:p>
      <w:r>
        <w:t xml:space="preserve">(2) Der Erteilungsbeschluß wird auf Antrag des Anmelders bis zum Ablauf einer Frist von fünfzehn Monaten ausgesetzt, die mit dem Tag der Einreichung der Anmeldung beim Deutschen Patent- und Markenamt oder, falls für die Anmeldung ein früherer Zeitpunkt als maßgebend in Anspruch genommen wird, mit diesem Zeitpunkt beginnt.</w:t>
      </w:r>
    </w:p>
    <w:p>
      <w:r>
        <w:rPr>
          <w:color w:val="555555"/>
          <w:sz w:val="17"/>
        </w:rPr>
        <w:t xml:space="preserve">Zitiervorschlag: § 49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