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Genügt die Anmeldung den Anforderungen der §§ 34, 37 und 38 nicht oder sind die Anforderungen des § 36 offensichtlich nicht erfüllt, so fordert die Prüfungsstelle den Anmelder auf, die Mängel innerhalb einer bestimmten Frist zu beseitigen. Satz 1 gilt nicht für Mängel, die sich auf die Zusammenfassung beziehen, wenn die Zusammenfassung bereits veröffentlicht worden ist.</w:t>
      </w:r>
    </w:p>
    <w:p>
      <w:r>
        <w:t xml:space="preserve">(2) Kommt die Prüfungsstelle zu dem Ergebnis, daß eine nach den §§ 1 bis 5 patentfähige Erfindung nicht vorliegt, so benachrichtigt sie den Patentsucher hiervon unter Angabe der Gründe und fordert ihn auf, sich innerhalb einer bestimmten Frist zu äußern.</w:t>
      </w:r>
    </w:p>
    <w:p>
      <w:r>
        <w:rPr>
          <w:color w:val="555555"/>
          <w:sz w:val="17"/>
        </w:rPr>
        <w:t xml:space="preserve">Zitiervorschlag: § 45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