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41 PatG</w:t>
      </w:r>
    </w:p>
    <w:p>
      <w:r>
        <w:rPr>
          <w:color w:val="555555"/>
          <w:sz w:val="18"/>
        </w:rPr>
        <w:t xml:space="preserve">Patentgesetz</w:t>
      </w:r>
    </w:p>
    <w:p>
      <w:r>
        <w:rPr>
          <w:color w:val="555555"/>
          <w:sz w:val="18"/>
        </w:rPr>
        <w:t xml:space="preserve">Stand: 14.10.2021 (konsolidierte Textfassung, kein amtliches Inkrafttretensdatum)</w:t>
      </w:r>
    </w:p>
    <w:p>
      <w:r>
        <w:t xml:space="preserve">(1) Wer nach einem Staatsvertrag die Priorität einer früheren ausländischen Anmeldung derselben Erfindung in Anspruch nimmt, hat vor Ablauf des 16. Monats nach dem Prioritätstag Zeit, Land und Aktenzeichen der früheren Anmeldung anzugeben und eine Abschrift der früheren Anmeldung einzureichen, soweit dies nicht bereits geschehen ist. Innerhalb der Frist können die Angaben geändert werden. Werden die Angaben nicht rechtzeitig gemacht, so wird der Prioritätsanspruch für die Anmeldung verwirkt.</w:t>
      </w:r>
    </w:p>
    <w:p>
      <w:r>
        <w:t xml:space="preserve">(2) Ist die frühere ausländische Anmeldung in einem Staat eingereicht worden, mit dem kein Staatsvertrag über die Anerkennung der Priorität besteht, so kann der Anmelder ein dem Prioritätsrecht nach der Pariser Verbandsübereinkunft entsprechendes Prioritätsrecht in Anspruch nehmen, soweit nach einer Bekanntmachung des Bundesministeriums der Justiz und für Verbraucherschutz im Bundesgesetzblatt der andere Staat aufgrund einer ersten Anmeldung beim Deutschen Patent- und Markenamt ein Prioritätsrecht gewährt, das nach Voraussetzungen und Inhalt dem Prioritätsrecht nach der Pariser Verbandsübereinkunft vergleichbar ist; Absatz 1 ist anzuwenden.</w:t>
      </w:r>
    </w:p>
    <w:p>
      <w:r>
        <w:rPr>
          <w:color w:val="555555"/>
          <w:sz w:val="17"/>
        </w:rPr>
        <w:t xml:space="preserve">Zitiervorschlag: § 41 PatG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https://recht.nulegal.eu/gesetze/PatG/41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