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PatG</w:t>
      </w:r>
    </w:p>
    <w:p>
      <w:r>
        <w:rPr>
          <w:color w:val="555555"/>
          <w:sz w:val="18"/>
        </w:rPr>
        <w:t xml:space="preserve">Patentgesetz</w:t>
      </w:r>
    </w:p>
    <w:p>
      <w:r>
        <w:rPr>
          <w:color w:val="555555"/>
          <w:sz w:val="18"/>
        </w:rPr>
        <w:t xml:space="preserve">Stand: 14.10.2021 (konsolidierte Textfassung, kein amtliches Inkrafttretensdatum)</w:t>
      </w:r>
    </w:p>
    <w:p>
      <w:r>
        <w:t xml:space="preserve">(1) Dem Anmelder steht innerhalb einer Frist von zwölf Monaten nach dem Anmeldetag einer beim Deutschen Patent- und Markenamt eingereichten früheren Patent- oder Gebrauchsmusteranmeldung für die Anmeldung derselben Erfindung zum Patent ein Prioritätsrecht zu, es sei denn, daß für die frühere Anmeldung schon eine inländische oder ausländische Priorität in Anspruch genommen worden ist.</w:t>
      </w:r>
    </w:p>
    <w:p>
      <w:r>
        <w:t xml:space="preserve">(2) Für die Anmeldung kann die Priorität mehrerer beim Deutschen Patent- und Markenamt eingereichter Patent- oder Gebrauchsmusteranmeldungen in Anspruch genommen werden.</w:t>
      </w:r>
    </w:p>
    <w:p>
      <w:r>
        <w:t xml:space="preserve">(3) Die Priorität kann nur für solche Merkmale der Anmeldung in Anspruch genommen werden, die in der Gesamtheit der Anmeldungsunterlagen der früheren Anmeldung deutlich offenbart sind.</w:t>
      </w:r>
    </w:p>
    <w:p>
      <w:r>
        <w:t xml:space="preserve">(4) Die Priorität kann nur innerhalb von zwei Monaten nach dem Anmeldetag der späteren Anmeldung in Anspruch genommen werden; die Prioritätserklärung gilt erst als abgegeben, wenn das Aktenzeichen der früheren Anmeldung angegeben worden ist.</w:t>
      </w:r>
    </w:p>
    <w:p>
      <w:r>
        <w:t xml:space="preserve">(5) Ist die frühere Anmeldung noch beim Deutschen Patent- und Markenamt anhängig, so gilt sie mit der Abgabe der Prioritätserklärung nach Absatz 4 als zurückgenommen. Dies gilt nicht, wenn die frühere Anmeldung ein Gebrauchsmuster betrifft.</w:t>
      </w:r>
    </w:p>
    <w:p>
      <w:r>
        <w:t xml:space="preserve">(6) Wird die Einsicht in die Akte einer späteren Anmeldung beantragt (§ 31), die die Priorität einer früheren Patent- und Gebrauchsmusteranmeldung in Anspruch nimmt, so nimmt das Deutsche Patent- und Markenamt eine Abschrift der früheren Patent- oder Gebrauchsmusteranmeldung zu den Akten der späteren Anmeldung.</w:t>
      </w:r>
    </w:p>
    <w:p>
      <w:r>
        <w:rPr>
          <w:color w:val="555555"/>
          <w:sz w:val="17"/>
        </w:rPr>
        <w:t xml:space="preserve">Zitiervorschlag: § 40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