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35a PatG</w:t>
      </w:r>
    </w:p>
    <w:p>
      <w:r>
        <w:rPr>
          <w:color w:val="555555"/>
          <w:sz w:val="18"/>
        </w:rPr>
        <w:t xml:space="preserve">Patentgesetz</w:t>
      </w:r>
    </w:p>
    <w:p>
      <w:r>
        <w:rPr>
          <w:color w:val="555555"/>
          <w:sz w:val="18"/>
        </w:rPr>
        <w:t xml:space="preserve">Stand: 14.10.2021 (konsolidierte Textfassung, kein amtliches Inkrafttretensdatum)</w:t>
      </w:r>
    </w:p>
    <w:p>
      <w:r>
        <w:t xml:space="preserve">(1) Ist die Anmeldung nicht oder teilweise nicht in deutscher Sprache abgefasst, so hat der Anmelder eine deutsche Übersetzung innerhalb einer Frist von drei Monaten nach Einreichung der Anmeldung nachzureichen. Wird die deutsche Übersetzung nicht innerhalb der Frist eingereicht, so gilt die Anmeldung als zurückgenommen.</w:t>
      </w:r>
    </w:p>
    <w:p>
      <w:r>
        <w:t xml:space="preserve">(2) Ist die Anmeldung ganz oder teilweise in englischer oder französischer Sprache abgefasst, verlängert sich die Frist nach Absatz 1 Satz 1 auf zwölf Monate. Wird anstelle des Anmeldetages für die Anmeldung ein früherer Zeitpunkt als maßgebend in Anspruch genommen, endet die Frist nach Satz 1 jedoch spätestens mit Ablauf von 15 Monaten nach diesem Zeitpunkt.</w:t>
      </w:r>
    </w:p>
    <w:p>
      <w:r>
        <w:t xml:space="preserve">(3) Ist für die Anmeldung ein Antrag nach § 43 Absatz 1 oder § 44 Absatz 1 gestellt worden, so kann die Prüfungsstelle den Anmelder auffordern, eine deutsche Übersetzung der Anmeldungsunterlagen vor Ablauf der in Absatz 2 genannten Frist einzureichen.</w:t>
      </w:r>
    </w:p>
    <w:p>
      <w:r>
        <w:t xml:space="preserve">(4) Erklärt sich der Anmelder vor Ablauf der Frist nach den Absätzen 1 und 2 gegenüber dem Patentamt mit der Akteneinsicht in seine Anmeldung nach § 31 Absatz 2 Satz 1 Nummer 1 einverstanden, hat er eine deutsche Übersetzung der Anmeldungsunterlagen einzureichen. Das Einverständnis gilt erst mit Eingang der Übersetzung beim Deutschen Patent- und Markenamt als erteilt.</w:t>
      </w:r>
    </w:p>
    <w:p>
      <w:r>
        <w:rPr>
          <w:color w:val="555555"/>
          <w:sz w:val="17"/>
        </w:rPr>
        <w:t xml:space="preserve">Zitiervorschlag: § 35a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https://recht.nulegal.eu/gesetze/PatG/35a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