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PatG — Datenschutz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personenbezogene Daten im Register oder in öffentlich zugänglichen elektronischen Informationsdiensten des Deutschen Patent- und Markenamtes enthalten sind, bestehen nicht</w:t>
      </w:r>
    </w:p>
    <w:p>
      <w:pPr>
        <w:ind w:left="420"/>
      </w:pPr>
      <w:r>
        <w:t xml:space="preserve">1. das Recht auf Auskunft gemäß Artikel 15 Absatz 1 Buchstabe c der Verordnung (EU) 2016/679,</w:t>
      </w:r>
    </w:p>
    <w:p>
      <w:pPr>
        <w:ind w:left="420"/>
      </w:pPr>
      <w:r>
        <w:t xml:space="preserve">2. die Mitteilungspflicht gemäß Artikel 19 Satz 2 der Verordnung (EU) 2016/679 und</w:t>
      </w:r>
    </w:p>
    <w:p>
      <w:pPr>
        <w:ind w:left="420"/>
      </w:pPr>
      <w:r>
        <w:t xml:space="preserve">3. das Recht auf Widerspruch gemäß Artikel 21 Absatz 1 der Verordnung (EU) 2016/679.</w:t>
      </w:r>
    </w:p>
    <w:p>
      <w:r>
        <w:t xml:space="preserve">Das Recht auf Erhalt einer Kopie nach Artikel 15 Absatz 3 der Verordnung (EU) 2016/679 wird dadurch erfüllt, dass die betroffene Person Einsicht in das Register oder in öffentlich zugängliche elektronische Informationsdienste des Deutschen Patent- und Markenamtes nehmen kann.</w:t>
      </w:r>
    </w:p>
    <w:p>
      <w:r>
        <w:rPr>
          <w:color w:val="555555"/>
          <w:sz w:val="17"/>
        </w:rPr>
        <w:t xml:space="preserve">Zitiervorschlag: § 31a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