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PatG</w:t>
      </w:r>
    </w:p>
    <w:p>
      <w:r>
        <w:rPr>
          <w:color w:val="555555"/>
          <w:sz w:val="18"/>
        </w:rPr>
        <w:t xml:space="preserve">Patentgesetz</w:t>
      </w:r>
    </w:p>
    <w:p>
      <w:r>
        <w:rPr>
          <w:color w:val="555555"/>
          <w:sz w:val="18"/>
        </w:rPr>
        <w:t xml:space="preserve">Stand: 14.10.2021 (konsolidierte Textfassung, kein amtliches Inkrafttretensdatum)</w:t>
      </w:r>
    </w:p>
    <w:p>
      <w:r>
        <w:t xml:space="preserve">(1) Das Deutsche Patent- und Markenamt gewährt jedermann auf Antrag Einsicht in die Akten sowie in die zu den Akten gehörenden Modelle und Probestücke, wenn und soweit ein berechtigtes Interesse glaubhaft gemacht wird. Jedoch steht die Einsicht in das Register und die Akten von Patenten einschließlich der Akten von Beschränkungs- oder Widerrufsverfahren (§ 64) jedermann frei.</w:t>
      </w:r>
    </w:p>
    <w:p>
      <w:r>
        <w:t xml:space="preserve">(2) In die Akten von Patentanmeldungen steht die Einsicht jedermann frei,</w:t>
      </w:r>
    </w:p>
    <w:p>
      <w:pPr>
        <w:ind w:left="420"/>
      </w:pPr>
      <w:r>
        <w:t xml:space="preserve">1. wenn der Anmelder sich gegenüber dem Deutschen Patent- und Markenamt mit der Akteneinsicht einverstanden erklärt und den Erfinder benannt hat oder</w:t>
      </w:r>
    </w:p>
    <w:p>
      <w:pPr>
        <w:ind w:left="420"/>
      </w:pPr>
      <w:r>
        <w:t xml:space="preserve">2. wenn seit dem Anmeldetag (§ 35) oder, sofern für die Anmeldung ein früherer Zeitpunkt als maßgebend in Anspruch genommen wird, seit diesem Zeitpunkt achtzehn Monate verstrichen sind</w:t>
      </w:r>
    </w:p>
    <w:p>
      <w:r>
        <w:t xml:space="preserve">und ein Hinweis nach § 32 Abs. 5 veröffentlicht worden ist. Bei Anmeldungen, die nicht oder teilweise nicht in deutscher Sprache abgefasst sind, gilt § 35a Absatz 4.</w:t>
      </w:r>
    </w:p>
    <w:p>
      <w:r>
        <w:t xml:space="preserve">(3) Soweit die Einsicht in die Akten jedermann freisteht, steht die Einsicht auch in die zu den Akten gehörenden Modelle und Probestücke jedermann frei.</w:t>
      </w:r>
    </w:p>
    <w:p>
      <w:r>
        <w:t xml:space="preserve">(3a) Soweit die Einsicht in die Akten jedermann freisteht, kann die Einsichtnahme bei elektronischer Führung der Akten auch über das Internet gewährt werden.</w:t>
      </w:r>
    </w:p>
    <w:p>
      <w:r>
        <w:t xml:space="preserve">(3b) Die Akteneinsicht nach den Absätzen 1 bis 3a ist ausgeschlossen, soweit</w:t>
      </w:r>
    </w:p>
    <w:p>
      <w:pPr>
        <w:ind w:left="420"/>
      </w:pPr>
      <w:r>
        <w:t xml:space="preserve">1. ihr eine Rechtsvorschrift entgegensteht,</w:t>
      </w:r>
    </w:p>
    <w:p>
      <w:pPr>
        <w:ind w:left="420"/>
      </w:pPr>
      <w:r>
        <w:t xml:space="preserve">2. das schutzwürdige Interesse der betroffenen Person im Sinne des Artikels 4 Nummer 1 der Verordnung (EU) 679/2016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offensichtlich überwiegt oder</w:t>
      </w:r>
    </w:p>
    <w:p>
      <w:pPr>
        <w:ind w:left="420"/>
      </w:pPr>
      <w:r>
        <w:t xml:space="preserve">3. in den Akten Angaben oder Zeichnungen enthalten sind, die offensichtlich gegen die öffentliche Ordnung oder die guten Sitten verstoßen.</w:t>
      </w:r>
    </w:p>
    <w:p>
      <w:r>
        <w:t xml:space="preserve">(4) In die Benennung des Erfinders (§ 37 Abs. 1) wird, wenn der vom Anmelder angegebene Erfinder es beantragt, Einsicht nur nach Absatz 1 Satz 1 gewährt; § 63 Abs. 1 Satz 4 und 5 ist entsprechend anzuwenden.</w:t>
      </w:r>
    </w:p>
    <w:p>
      <w:r>
        <w:t xml:space="preserve">(5) In die Akten von Patentanmeldungen und Patenten, für die gemäß § 50 jede Veröffentlichung unterbleibt, kann das Deutsche Patent- und Markenamt nur nach Anhörung der zuständigen obersten Bundesbehörde Einsicht gewähren, wenn und soweit ein besonderes schutzwürdiges Interesse des Antragstellers die Gewährung der Einsicht geboten erscheinen läßt und hierdurch die Gefahr eines schweren Nachteils für die äußere Sicherheit der Bundesrepublik Deutschland nicht zu erwarten ist. Wird in einem Verfahren eine Patentanmeldung oder ein Patent nach § 3 Abs. 2 Satz 3 als Stand der Technik entgegengehalten, so ist auf den diese Entgegenhaltung betreffenden Teil der Akten Satz 1 entsprechend anzuwenden.</w:t>
      </w:r>
    </w:p>
    <w:p>
      <w:r>
        <w:rPr>
          <w:color w:val="555555"/>
          <w:sz w:val="17"/>
        </w:rPr>
        <w:t xml:space="preserve">Zitiervorschlag: § 31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