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PatG</w:t>
      </w:r>
    </w:p>
    <w:p>
      <w:r>
        <w:rPr>
          <w:color w:val="555555"/>
          <w:sz w:val="18"/>
        </w:rPr>
        <w:t xml:space="preserve">Patentgesetz</w:t>
      </w:r>
    </w:p>
    <w:p>
      <w:r>
        <w:rPr>
          <w:color w:val="555555"/>
          <w:sz w:val="18"/>
        </w:rPr>
        <w:t xml:space="preserve">Stand: 14.10.2021 (konsolidierte Textfassung, kein amtliches Inkrafttretensdatum)</w:t>
      </w:r>
    </w:p>
    <w:p>
      <w:r>
        <w:t xml:space="preserve">(1) Das Patent erlischt, wenn</w:t>
      </w:r>
    </w:p>
    <w:p>
      <w:pPr>
        <w:ind w:left="420"/>
      </w:pPr>
      <w:r>
        <w:t xml:space="preserve">1. der Patentinhaber darauf durch schriftliche Erklärung an das Deutsche Patent- und Markenamt verzichtet oder</w:t>
      </w:r>
    </w:p>
    <w:p>
      <w:pPr>
        <w:ind w:left="420"/>
      </w:pPr>
      <w:r>
        <w:t xml:space="preserve">2. die Jahresgebühr oder der Unterschiedsbetrag nicht rechtzeitig (§ 7 Abs. 1, § 13 Absatz 4 oder § 14 Abs. 2 und 5 des Patentkostengesetzes, § 23 Abs. 7 Satz 4 dieses Gesetzes) gezahlt wird.</w:t>
      </w:r>
    </w:p>
    <w:p>
      <w:r>
        <w:t xml:space="preserve">(2) Über die Rechtzeitigkeit der Zahlung entscheidet nur das Deutsche Patent- und Markenamt; die §§ 73 und 100 bleiben unberührt.</w:t>
      </w:r>
    </w:p>
    <w:p>
      <w:r>
        <w:rPr>
          <w:color w:val="555555"/>
          <w:sz w:val="17"/>
        </w:rPr>
        <w:t xml:space="preserve">Zitiervorschlag: § 20 PatG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https://recht.nulegal.eu/gesetze/PatG/20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